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adjustRightInd/>
        <w:wordWrap/>
        <w:jc w:val="left"/>
        <w:spacing w:after="0" w:line="276" w:lineRule="auto"/>
        <w:rPr>
          <w:lang w:eastAsia="ko-KR"/>
          <w:rFonts w:ascii="Arial" w:hAnsi="Arial" w:cs="Arial" w:hint="eastAsia"/>
          <w:b/>
          <w:bCs/>
          <w:sz w:val="24"/>
          <w:szCs w:val="24"/>
          <w:rtl w:val="off"/>
        </w:rPr>
      </w:pPr>
      <w:r>
        <w:rPr>
          <w:rFonts w:ascii="Arial" w:hAnsi="Arial" w:cs="Arial" w:hint="eastAsia"/>
          <w:b/>
          <w:bCs/>
          <w:strike w:val="off"/>
          <w:color w:val="0070C0"/>
          <w:szCs w:val="20"/>
          <w:u w:val="single" w:color="auto"/>
        </w:rPr>
        <w:t xml:space="preserve">Project Number: </w:t>
      </w:r>
      <w:r>
        <w:rPr>
          <w:rFonts w:ascii="Arial" w:hAnsi="Arial" w:cs="Arial"/>
          <w:b/>
          <w:bCs/>
          <w:strike w:val="off"/>
          <w:color w:val="0070C0"/>
          <w:szCs w:val="20"/>
          <w:u w:val="single" w:color="auto"/>
        </w:rPr>
        <w:t>2025-1st-CustomizedDiagnosticTherapeutic</w:t>
      </w:r>
      <w:r>
        <w:rPr>
          <w:rFonts w:ascii="Arial" w:hAnsi="Arial" w:cs="Arial" w:hint="eastAsia"/>
          <w:b/>
          <w:bCs/>
          <w:strike w:val="off"/>
          <w:color w:val="0070C0"/>
          <w:szCs w:val="20"/>
          <w:u w:val="single" w:color="auto"/>
        </w:rPr>
        <w:t>-Item</w:t>
      </w:r>
      <w:r>
        <w:rPr>
          <w:rFonts w:ascii="Arial" w:hAnsi="Arial" w:cs="Arial"/>
          <w:b/>
          <w:bCs/>
          <w:strike w:val="off"/>
          <w:color w:val="0070C0"/>
          <w:szCs w:val="20"/>
          <w:u w:val="single" w:color="auto"/>
        </w:rPr>
        <w:t>-General-06</w:t>
      </w:r>
    </w:p>
    <w:p>
      <w:pPr>
        <w:adjustRightInd/>
        <w:wordWrap/>
        <w:jc w:val="left"/>
        <w:spacing w:after="0" w:line="276" w:lineRule="auto"/>
        <w:rPr>
          <w:rFonts w:ascii="Arial" w:hAnsi="Arial" w:cs="Arial"/>
          <w:b/>
          <w:bCs/>
          <w:sz w:val="24"/>
          <w:szCs w:val="24"/>
        </w:rPr>
      </w:pPr>
      <w:r>
        <w:rPr>
          <w:rFonts w:ascii="Arial" w:hAnsi="Arial" w:cs="Arial"/>
          <w:b/>
          <w:bCs/>
          <w:sz w:val="24"/>
          <w:szCs w:val="24"/>
        </w:rPr>
        <w:t>Int</w:t>
      </w:r>
      <w:r>
        <w:rPr>
          <w:rFonts w:ascii="Arial" w:hAnsi="Arial" w:cs="Arial"/>
          <w:b/>
          <w:bCs/>
          <w:sz w:val="24"/>
          <w:szCs w:val="24"/>
        </w:rPr>
        <w:t>e</w:t>
      </w:r>
      <w:r>
        <w:rPr>
          <w:rFonts w:ascii="Arial" w:hAnsi="Arial" w:cs="Arial"/>
          <w:b/>
          <w:bCs/>
          <w:sz w:val="24"/>
          <w:szCs w:val="24"/>
        </w:rPr>
        <w:t xml:space="preserve">rnational </w:t>
      </w:r>
      <w:r>
        <w:rPr>
          <w:rFonts w:ascii="Arial" w:hAnsi="Arial" w:cs="Arial" w:hint="eastAsia"/>
          <w:b/>
          <w:bCs/>
          <w:sz w:val="24"/>
          <w:szCs w:val="24"/>
        </w:rPr>
        <w:t>J</w:t>
      </w:r>
      <w:r>
        <w:rPr>
          <w:rFonts w:ascii="Arial" w:hAnsi="Arial" w:cs="Arial"/>
          <w:b/>
          <w:bCs/>
          <w:sz w:val="24"/>
          <w:szCs w:val="24"/>
        </w:rPr>
        <w:t>oint R&amp;</w:t>
      </w:r>
      <w:r>
        <w:rPr>
          <w:rFonts w:ascii="Arial" w:hAnsi="Arial" w:cs="Arial"/>
          <w:b/>
          <w:bCs/>
          <w:sz w:val="24"/>
          <w:szCs w:val="24"/>
        </w:rPr>
        <w:t>D</w:t>
      </w:r>
      <w:r>
        <w:rPr>
          <w:rFonts w:ascii="Arial" w:hAnsi="Arial" w:cs="Arial"/>
          <w:b/>
          <w:bCs/>
          <w:sz w:val="24"/>
          <w:szCs w:val="24"/>
        </w:rPr>
        <w:t xml:space="preserve">: </w:t>
      </w:r>
      <w:r>
        <w:rPr>
          <w:rFonts w:ascii="Arial" w:hAnsi="Arial" w:cs="Arial" w:hint="eastAsia"/>
          <w:b/>
          <w:sz w:val="24"/>
          <w:szCs w:val="24"/>
        </w:rPr>
        <w:t>Biotechnology</w:t>
      </w:r>
    </w:p>
    <w:p>
      <w:pPr>
        <w:adjustRightInd/>
        <w:wordWrap/>
        <w:jc w:val="left"/>
        <w:spacing w:after="0" w:line="276" w:lineRule="auto"/>
        <w:rPr>
          <w:rFonts w:ascii="Arial" w:hAnsi="Arial" w:cs="Arial"/>
          <w:b/>
          <w:bCs/>
          <w:strike w:val="off"/>
          <w:color w:val="0070C0"/>
          <w:szCs w:val="20"/>
          <w:u w:val="single" w:color="auto"/>
        </w:rPr>
      </w:pPr>
      <w:r>
        <w:rPr>
          <w:rFonts w:ascii="Arial" w:hAnsi="Arial" w:cs="Arial"/>
          <w:b/>
          <w:bCs/>
          <w:sz w:val="24"/>
          <w:szCs w:val="20"/>
        </w:rPr>
        <w:t xml:space="preserve">(Full) </w:t>
      </w:r>
      <w:r>
        <w:rPr>
          <w:rFonts w:ascii="Arial" w:hAnsi="Arial" w:cs="Arial"/>
          <w:b/>
          <w:bCs/>
          <w:sz w:val="24"/>
          <w:szCs w:val="20"/>
        </w:rPr>
        <w:t>Development of AI-Based Superparamagnetic Bio-Nano Beads and Nanomedicine Mass Manufacturing Technologies</w:t>
      </w:r>
    </w:p>
    <w:p>
      <w:pPr>
        <w:pStyle w:val="a3"/>
        <w:jc w:val="left"/>
        <w:rPr>
          <w:rFonts w:ascii="Verdana-Bold" w:hAnsi="Verdana-Bold" w:cs="Verdana-Bold"/>
          <w:b/>
          <w:bCs/>
          <w:strike w:val="off"/>
          <w:color w:val="977000"/>
          <w:szCs w:val="20"/>
          <w:kern w:val="0"/>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 xml:space="preserve">1. </w:t>
      </w:r>
      <w:r>
        <w:rPr>
          <w:rFonts w:ascii="Arial-BoldMT" w:hAnsi="Arial-BoldMT" w:cs="Arial-BoldMT"/>
          <w:b/>
          <w:bCs/>
          <w:color w:val="000000"/>
          <w:sz w:val="22"/>
          <w:szCs w:val="15"/>
          <w:kern w:val="0"/>
        </w:rPr>
        <w:t>Award</w:t>
      </w:r>
      <w:r>
        <w:rPr>
          <w:rFonts w:ascii="Arial-BoldMT" w:hAnsi="Arial-BoldMT" w:cs="Arial-BoldMT"/>
          <w:b/>
          <w:bCs/>
          <w:color w:val="000000"/>
          <w:sz w:val="22"/>
          <w:szCs w:val="15"/>
          <w:kern w:val="0"/>
        </w:rPr>
        <w:t xml:space="preserve"> Information</w:t>
      </w:r>
    </w:p>
    <w:p>
      <w:pPr>
        <w:adjustRightInd/>
        <w:wordWrap/>
        <w:jc w:val="left"/>
        <w:spacing w:after="0" w:line="240" w:lineRule="auto"/>
        <w:rPr>
          <w:rFonts w:ascii="Arial-BoldMT" w:hAnsi="Arial-BoldMT" w:cs="Arial-BoldMT"/>
          <w:b/>
          <w:bCs/>
          <w:color w:val="000000"/>
          <w:sz w:val="22"/>
          <w:szCs w:val="15"/>
          <w:kern w:val="0"/>
        </w:rPr>
      </w:pPr>
      <w:r>
        <w:rPr>
          <w:noProof/>
        </w:rPr>
        <mc:AlternateContent>
          <mc:Choice Requires="wps">
            <w:drawing>
              <wp:anchor distT="0" distB="0" distL="114300" distR="114300" behindDoc="0" locked="0" layoutInCell="1" simplePos="0" relativeHeight="251663360" allowOverlap="1" hidden="0">
                <wp:simplePos x="0" y="0"/>
                <wp:positionH relativeFrom="column">
                  <wp:posOffset>0</wp:posOffset>
                </wp:positionH>
                <wp:positionV relativeFrom="paragraph">
                  <wp:posOffset>0</wp:posOffset>
                </wp:positionV>
                <wp:extent cx="5895975" cy="0"/>
                <wp:effectExtent l="49530" t="26529" r="49530" b="72530"/>
                <wp:wrapNone/>
                <wp:docPr id="1025" name="shape1025"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63360" o:allowincell="t" filled="f" strokecolor="#0">
                <v:stroke joinstyle="round"/>
              </v:line>
            </w:pict>
          </mc:Fallback>
        </mc:AlternateContent>
      </w: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Duration, Budget, and Implementation Structure</w:t>
      </w:r>
      <w:r>
        <w:rPr>
          <w:rFonts w:ascii="Arial-BoldMT" w:hAnsi="Arial-BoldMT" w:cs="Arial-BoldMT" w:hint="eastAsia"/>
          <w:b/>
          <w:bCs/>
          <w:color w:val="000000"/>
          <w:sz w:val="22"/>
          <w:szCs w:val="15"/>
          <w:kern w:val="0"/>
        </w:rPr>
        <w:t>:</w:t>
      </w:r>
    </w:p>
    <w:p>
      <w:pPr>
        <w:adjustRightInd/>
        <w:wordWrap/>
        <w:jc w:val="left"/>
        <w:spacing w:after="0" w:line="240" w:lineRule="auto"/>
        <w:rPr>
          <w:rFonts w:ascii="Arial-BoldMT" w:eastAsia="맑은 고딕" w:hAnsi="Arial-BoldMT" w:cs="Arial-BoldMT"/>
          <w:bCs/>
          <w:color w:val="000000"/>
          <w:szCs w:val="15"/>
          <w:kern w:val="0"/>
        </w:rPr>
      </w:pPr>
    </w:p>
    <w:p>
      <w:pPr>
        <w:adjustRightInd/>
        <w:pStyle w:val="a3"/>
        <w:wordWrap/>
        <w:jc w:val="left"/>
        <w:numPr>
          <w:ilvl w:val="0"/>
          <w:numId w:val="1"/>
        </w:numPr>
        <w:spacing w:line="276" w:lineRule="auto"/>
        <w:rPr>
          <w:rFonts w:ascii="Arial-BoldMT" w:hAnsi="Arial-BoldMT" w:cs="Arial-BoldMT"/>
          <w:bCs/>
          <w:strike w:val="off"/>
          <w:szCs w:val="15"/>
          <w:kern w:val="0"/>
        </w:rPr>
      </w:pPr>
      <w:r>
        <w:rPr>
          <w:rFonts w:ascii="Arial" w:eastAsiaTheme="minorEastAsia" w:hAnsi="Arial" w:cs="Arial"/>
          <w:bCs/>
          <w:strike w:val="off"/>
          <w:color w:val="auto"/>
          <w:szCs w:val="20"/>
        </w:rPr>
        <w:t xml:space="preserve">Within 57 months </w:t>
      </w:r>
      <w:r>
        <w:rPr>
          <w:rFonts w:ascii="Arial" w:eastAsiaTheme="minorEastAsia" w:hAnsi="Arial" w:cs="Arial"/>
          <w:bCs/>
          <w:strike w:val="off"/>
          <w:color w:val="auto"/>
          <w:sz w:val="18"/>
          <w:szCs w:val="20"/>
        </w:rPr>
        <w:t>(Development period of Year 1: 9 months, Year 2 to 5: 12 months each)</w:t>
      </w:r>
    </w:p>
    <w:p>
      <w:pPr>
        <w:adjustRightInd/>
        <w:pStyle w:val="a3"/>
        <w:wordWrap/>
        <w:jc w:val="left"/>
        <w:numPr>
          <w:ilvl w:val="0"/>
          <w:numId w:val="1"/>
        </w:numPr>
        <w:spacing w:line="276" w:lineRule="auto"/>
        <w:rPr>
          <w:rFonts w:ascii="Arial-BoldMT" w:hAnsi="Arial-BoldMT" w:cs="Arial-BoldMT"/>
          <w:bCs/>
          <w:strike w:val="off"/>
          <w:sz w:val="22"/>
          <w:szCs w:val="15"/>
          <w:kern w:val="0"/>
        </w:rPr>
      </w:pPr>
      <w:r>
        <w:rPr>
          <w:rFonts w:ascii="Arial" w:hAnsi="Arial" w:cs="Arial"/>
          <w:bCs/>
          <w:strike w:val="off"/>
          <w:color w:val="auto"/>
          <w:szCs w:val="20"/>
        </w:rPr>
        <w:t xml:space="preserve">Government contribution: Within KRW </w:t>
      </w:r>
      <w:r>
        <w:rPr>
          <w:rFonts w:ascii="Arial" w:eastAsiaTheme="minorEastAsia" w:hAnsi="Arial" w:cs="Arial"/>
          <w:bCs/>
          <w:strike w:val="off"/>
          <w:color w:val="auto"/>
          <w:szCs w:val="20"/>
        </w:rPr>
        <w:t>9</w:t>
      </w:r>
      <w:r>
        <w:rPr>
          <w:rFonts w:ascii="Arial" w:eastAsiaTheme="minorEastAsia" w:hAnsi="Arial" w:cs="Arial"/>
          <w:bCs/>
          <w:strike w:val="off"/>
          <w:color w:val="auto"/>
          <w:szCs w:val="20"/>
        </w:rPr>
        <w:t>0</w:t>
      </w:r>
      <w:r>
        <w:rPr>
          <w:rFonts w:ascii="Arial" w:eastAsiaTheme="minorEastAsia" w:hAnsi="Arial" w:cs="Arial"/>
          <w:bCs/>
          <w:strike w:val="off"/>
          <w:color w:val="auto"/>
          <w:szCs w:val="20"/>
        </w:rPr>
        <w:t>0</w:t>
      </w:r>
      <w:r>
        <w:rPr>
          <w:rFonts w:ascii="Arial" w:eastAsiaTheme="minorEastAsia" w:hAnsi="Arial" w:cs="Arial"/>
          <w:bCs/>
          <w:strike w:val="off"/>
          <w:color w:val="auto"/>
          <w:szCs w:val="20"/>
        </w:rPr>
        <w:t xml:space="preserve"> </w:t>
      </w:r>
      <w:r>
        <w:rPr>
          <w:rFonts w:ascii="Arial" w:eastAsiaTheme="minorEastAsia" w:hAnsi="Arial" w:cs="Arial"/>
          <w:bCs/>
          <w:strike w:val="off"/>
          <w:color w:val="auto"/>
          <w:szCs w:val="20"/>
        </w:rPr>
        <w:t>m</w:t>
      </w:r>
      <w:r>
        <w:rPr>
          <w:rFonts w:ascii="Arial" w:eastAsiaTheme="minorEastAsia" w:hAnsi="Arial" w:cs="Arial"/>
          <w:bCs/>
          <w:strike w:val="off"/>
          <w:color w:val="auto"/>
          <w:szCs w:val="20"/>
        </w:rPr>
        <w:t xml:space="preserve">illion </w:t>
      </w:r>
      <w:r>
        <w:rPr>
          <w:rFonts w:ascii="Arial" w:hAnsi="Arial" w:cs="Arial"/>
          <w:bCs/>
          <w:strike w:val="off"/>
          <w:color w:val="auto"/>
          <w:szCs w:val="20"/>
        </w:rPr>
        <w:t>in 202</w:t>
      </w:r>
      <w:r>
        <w:rPr>
          <w:rFonts w:ascii="Arial" w:hAnsi="Arial" w:cs="Arial" w:hint="eastAsia"/>
          <w:bCs/>
          <w:strike w:val="off"/>
          <w:color w:val="auto"/>
          <w:szCs w:val="20"/>
        </w:rPr>
        <w:t>5</w:t>
      </w:r>
      <w:r>
        <w:rPr>
          <w:rFonts w:ascii="Arial" w:hAnsi="Arial" w:cs="Arial"/>
          <w:bCs/>
          <w:strike w:val="off"/>
          <w:color w:val="auto"/>
          <w:szCs w:val="20"/>
        </w:rPr>
        <w:t xml:space="preserve"> </w:t>
      </w:r>
      <w:r>
        <w:rPr>
          <w:rFonts w:ascii="Arial" w:hAnsi="Arial" w:cs="Arial"/>
          <w:bCs/>
          <w:strike w:val="off"/>
          <w:color w:val="auto"/>
          <w:sz w:val="16"/>
          <w:szCs w:val="20"/>
        </w:rPr>
        <w:t xml:space="preserve">(within total government contribution of KRW </w:t>
      </w:r>
      <w:r>
        <w:rPr>
          <w:rFonts w:ascii="Arial" w:hAnsi="Arial" w:cs="Arial" w:hint="eastAsia"/>
          <w:bCs/>
          <w:strike w:val="off"/>
          <w:color w:val="auto"/>
          <w:sz w:val="16"/>
          <w:szCs w:val="20"/>
        </w:rPr>
        <w:t>5.7</w:t>
      </w:r>
      <w:r>
        <w:rPr>
          <w:rFonts w:ascii="Arial" w:hAnsi="Arial" w:cs="Arial"/>
          <w:bCs/>
          <w:strike w:val="off"/>
          <w:color w:val="auto"/>
          <w:sz w:val="16"/>
          <w:szCs w:val="20"/>
        </w:rPr>
        <w:t xml:space="preserve"> billion)</w:t>
      </w:r>
    </w:p>
    <w:p>
      <w:pPr>
        <w:adjustRightInd/>
        <w:pStyle w:val="a3"/>
        <w:wordWrap/>
        <w:jc w:val="left"/>
        <w:numPr>
          <w:ilvl w:val="0"/>
          <w:numId w:val="1"/>
        </w:numPr>
        <w:spacing w:line="276" w:lineRule="auto"/>
        <w:rPr>
          <w:rFonts w:ascii="Arial-BoldMT" w:hAnsi="Arial-BoldMT" w:cs="Arial-BoldMT"/>
          <w:bCs/>
          <w:strike w:val="off"/>
          <w:sz w:val="22"/>
          <w:szCs w:val="15"/>
          <w:kern w:val="0"/>
        </w:rPr>
      </w:pPr>
      <w:r>
        <w:rPr>
          <w:rFonts w:ascii="Arial" w:hAnsi="Arial" w:cs="Arial"/>
          <w:bCs/>
          <w:strike w:val="off"/>
          <w:color w:val="auto"/>
          <w:szCs w:val="20"/>
        </w:rPr>
        <w:t>Mana</w:t>
      </w:r>
      <w:r>
        <w:rPr>
          <w:rFonts w:ascii="Arial" w:hAnsi="Arial" w:cs="Arial"/>
          <w:bCs/>
          <w:strike w:val="off"/>
          <w:color w:val="auto"/>
          <w:szCs w:val="20"/>
        </w:rPr>
        <w:t>g</w:t>
      </w:r>
      <w:r>
        <w:rPr>
          <w:rFonts w:ascii="Arial" w:hAnsi="Arial" w:cs="Arial"/>
          <w:bCs/>
          <w:strike w:val="off"/>
          <w:color w:val="auto"/>
          <w:szCs w:val="20"/>
        </w:rPr>
        <w:t xml:space="preserve">ing Institutes: </w:t>
      </w:r>
      <w:r>
        <w:rPr>
          <w:rFonts w:ascii="Arial" w:hAnsi="Arial" w:cs="Arial"/>
          <w:bCs/>
          <w:strike w:val="off"/>
          <w:color w:val="auto"/>
          <w:szCs w:val="20"/>
        </w:rPr>
        <w:t>Small and Medium-Sized Enterprises (SMEs) or Mid-Sized Companies</w:t>
      </w: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 xml:space="preserve">2. </w:t>
      </w:r>
      <w:r>
        <w:rPr>
          <w:rFonts w:ascii="Arial-BoldMT" w:hAnsi="Arial-BoldMT" w:cs="Arial-BoldMT" w:hint="eastAsia"/>
          <w:b/>
          <w:bCs/>
          <w:color w:val="000000"/>
          <w:sz w:val="22"/>
          <w:szCs w:val="15"/>
          <w:kern w:val="0"/>
        </w:rPr>
        <w:t>Concept/</w:t>
      </w:r>
      <w:r>
        <w:rPr>
          <w:rFonts w:ascii="Arial-BoldMT" w:hAnsi="Arial-BoldMT" w:cs="Arial-BoldMT"/>
          <w:b/>
          <w:bCs/>
          <w:color w:val="000000"/>
          <w:sz w:val="22"/>
          <w:szCs w:val="15"/>
          <w:kern w:val="0"/>
        </w:rPr>
        <w:t>Objective</w:t>
      </w:r>
    </w:p>
    <w:p>
      <w:pPr>
        <w:adjustRightInd/>
        <w:wordWrap/>
        <w:jc w:val="left"/>
        <w:spacing w:after="0" w:line="240" w:lineRule="auto"/>
        <w:rPr>
          <w:rFonts w:ascii="Arial-BoldMT" w:hAnsi="Arial-BoldMT" w:cs="Arial-BoldMT"/>
          <w:b/>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65408" allowOverlap="1" hidden="0">
                <wp:simplePos x="0" y="0"/>
                <wp:positionH relativeFrom="column">
                  <wp:posOffset>0</wp:posOffset>
                </wp:positionH>
                <wp:positionV relativeFrom="paragraph">
                  <wp:posOffset>-635</wp:posOffset>
                </wp:positionV>
                <wp:extent cx="5895975" cy="0"/>
                <wp:effectExtent l="49530" t="26529" r="49530" b="72530"/>
                <wp:wrapNone/>
                <wp:docPr id="1026" name="shape1026"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65408" o:allowincell="t" filled="f" strokecolor="#0">
                <v:stroke joinstyle="round"/>
              </v:line>
            </w:pict>
          </mc:Fallback>
        </mc:AlternateContent>
      </w: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Concept</w:t>
      </w:r>
      <w:r>
        <w:rPr>
          <w:rFonts w:ascii="Arial-BoldMT" w:hAnsi="Arial-BoldMT" w:cs="Arial-BoldMT" w:hint="eastAsia"/>
          <w:b/>
          <w:bCs/>
          <w:color w:val="000000"/>
          <w:sz w:val="22"/>
          <w:szCs w:val="15"/>
          <w:kern w:val="0"/>
        </w:rPr>
        <w:t>:</w:t>
      </w:r>
    </w:p>
    <w:p>
      <w:pPr>
        <w:pStyle w:val="a3"/>
        <w:jc w:val="left"/>
        <w:pBdr>
          <w:bottom w:val="none" w:sz="2" w:space="0" w:color="000000"/>
        </w:pBdr>
        <w:numPr>
          <w:ilvl w:val="0"/>
          <w:numId w:val="2"/>
        </w:numPr>
        <w:spacing w:line="276"/>
        <w:rPr>
          <w:rFonts w:ascii="Arial" w:hAnsi="Arial" w:cs="Arial"/>
          <w:strike w:val="off"/>
          <w:szCs w:val="20"/>
        </w:rPr>
      </w:pPr>
      <w:r>
        <w:rPr>
          <w:rFonts w:ascii="Arial" w:hAnsi="Arial" w:cs="Arial"/>
          <w:strike w:val="off"/>
          <w:szCs w:val="20"/>
        </w:rPr>
        <w:t>Identify effective candidate groups for AI-driven nanomedicine/materials based on superparamagnetic bio-nanobead technology. Develop diagnostic and therapeutic nanomedicines/medical devices and establish cGMP-grade mass production technologies and production advancement demonstrations for commercialization.</w:t>
      </w:r>
    </w:p>
    <w:p>
      <w:pPr>
        <w:pStyle w:val="a3"/>
        <w:ind w:left="800"/>
        <w:jc w:val="left"/>
        <w:pBdr>
          <w:bottom w:val="none" w:sz="2" w:space="0" w:color="000000"/>
        </w:pBdr>
        <w:rPr>
          <w:lang w:eastAsia="ko-KR"/>
          <w:rFonts w:ascii="Arial" w:hAnsi="Arial" w:cs="Arial" w:hint="eastAsia"/>
          <w:strike w:val="off"/>
          <w:sz w:val="18"/>
          <w:szCs w:val="18"/>
          <w:rtl w:val="off"/>
        </w:rPr>
      </w:pPr>
      <w:r>
        <w:rPr>
          <w:rFonts w:ascii="Arial" w:hAnsi="Arial" w:cs="Arial"/>
          <w:strike w:val="off"/>
          <w:sz w:val="18"/>
          <w:szCs w:val="18"/>
        </w:rPr>
        <w:t>* Superparamagnetic Bio-Nanobeads: Technology utilizing nanoscale materials with magnetization properties under external magnetic fields, such as magnets and electromagnetic induction. Applications include high-speed separation and purification of biomaterials, biosensing, and diagnostics.</w:t>
      </w:r>
    </w:p>
    <w:p>
      <w:pPr>
        <w:pStyle w:val="a3"/>
        <w:ind w:left="800"/>
        <w:jc w:val="left"/>
        <w:pBdr>
          <w:bottom w:val="none" w:sz="2" w:space="0" w:color="000000"/>
        </w:pBdr>
        <w:rPr>
          <w:rFonts w:ascii="Arial" w:hAnsi="Arial" w:cs="Arial"/>
          <w:strike w:val="off"/>
          <w:sz w:val="18"/>
          <w:szCs w:val="18"/>
        </w:rPr>
      </w:pP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 xml:space="preserve">Address limitations such as low reproducibility, instability, lack of quality and preclinical evaluation technologies, and inefficiencies in manufacturing and production for </w:t>
      </w:r>
      <w:r>
        <w:rPr>
          <w:rFonts w:ascii="Arial" w:hAnsi="Arial" w:cs="Arial"/>
          <w:color w:val="000000"/>
          <w:szCs w:val="20"/>
        </w:rPr>
        <w:t>nanobiomedicines</w:t>
      </w:r>
      <w:r>
        <w:rPr>
          <w:rFonts w:ascii="Arial" w:hAnsi="Arial" w:cs="Arial"/>
          <w:color w:val="000000"/>
          <w:szCs w:val="20"/>
        </w:rPr>
        <w:t xml:space="preserve">. This requires global collaborative research to develop world-class mass production core modules and establish an integrated, </w:t>
      </w:r>
      <w:r>
        <w:rPr>
          <w:rFonts w:ascii="Arial" w:hAnsi="Arial" w:cs="Arial"/>
          <w:color w:val="000000"/>
          <w:szCs w:val="20"/>
        </w:rPr>
        <w:t>QbD</w:t>
      </w:r>
      <w:r>
        <w:rPr>
          <w:rFonts w:ascii="Arial" w:hAnsi="Arial" w:cs="Arial"/>
          <w:color w:val="000000"/>
          <w:szCs w:val="20"/>
        </w:rPr>
        <w:t>-based, cGMP-grade large-scale production system.</w:t>
      </w:r>
    </w:p>
    <w:p>
      <w:pPr>
        <w:adjustRightInd/>
        <w:wordWrap/>
        <w:jc w:val="left"/>
        <w:spacing w:after="0" w:line="240" w:lineRule="auto"/>
        <w:rPr>
          <w:rFonts w:ascii="Arial-BoldMT" w:hAnsi="Arial-BoldMT" w:cs="Arial-BoldMT"/>
          <w:b/>
          <w:bCs/>
          <w:color w:val="000000"/>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Core Objective</w:t>
      </w:r>
      <w:r>
        <w:rPr>
          <w:rFonts w:ascii="Arial-BoldMT" w:hAnsi="Arial-BoldMT" w:cs="Arial-BoldMT"/>
          <w:b/>
          <w:bCs/>
          <w:color w:val="000000"/>
          <w:sz w:val="22"/>
          <w:szCs w:val="15"/>
          <w:kern w:val="0"/>
        </w:rPr>
        <w:t xml:space="preserve">: </w:t>
      </w:r>
    </w:p>
    <w:p>
      <w:pPr>
        <w:adjustRightInd/>
        <w:wordWrap/>
        <w:jc w:val="left"/>
        <w:spacing w:after="0" w:line="240" w:lineRule="auto"/>
        <w:rPr>
          <w:rFonts w:ascii="Arial-BoldMT" w:hAnsi="Arial-BoldMT" w:cs="Arial-BoldMT"/>
          <w:b/>
          <w:bCs/>
          <w:color w:val="000000"/>
          <w:sz w:val="22"/>
          <w:szCs w:val="15"/>
          <w:kern w:val="0"/>
        </w:rPr>
      </w:pPr>
    </w:p>
    <w:p>
      <w:pPr>
        <w:pStyle w:val="a3"/>
        <w:jc w:val="both"/>
        <w:pBdr>
          <w:bottom w:val="none" w:sz="2" w:space="0" w:color="000000"/>
        </w:pBdr>
        <w:numPr>
          <w:ilvl w:val="0"/>
          <w:numId w:val="2"/>
        </w:numPr>
        <w:rPr>
          <w:rFonts w:ascii="Arial" w:hAnsi="Arial" w:cs="Arial"/>
          <w:strike w:val="off"/>
          <w:szCs w:val="20"/>
        </w:rPr>
      </w:pPr>
      <w:r>
        <w:rPr>
          <w:rFonts w:ascii="Arial" w:hAnsi="Arial" w:cs="Arial"/>
          <w:strike w:val="off"/>
          <w:szCs w:val="20"/>
        </w:rPr>
        <w:t>Develop cGMP-grade mass production technologies for bio-nanomaterial-based pharmaceuticals</w:t>
      </w:r>
    </w:p>
    <w:p>
      <w:pPr>
        <w:adjustRightInd/>
        <w:wordWrap/>
        <w:jc w:val="left"/>
        <w:spacing w:after="0" w:line="240" w:lineRule="auto"/>
        <w:rPr>
          <w:rFonts w:ascii="Arial-BoldMT" w:hAnsi="Arial-BoldMT" w:cs="Arial-BoldMT"/>
          <w:b/>
          <w:bCs/>
          <w:color w:val="000000"/>
          <w:szCs w:val="15"/>
          <w:kern w:val="0"/>
        </w:rPr>
      </w:pPr>
    </w:p>
    <w:p>
      <w:pPr>
        <w:adjustRightInd/>
        <w:wordWrap/>
        <w:jc w:val="left"/>
        <w:spacing w:after="0" w:line="36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Details of development:</w:t>
      </w:r>
    </w:p>
    <w:p>
      <w:pPr>
        <w:adjustRightInd/>
        <w:wordWrap/>
        <w:jc w:val="left"/>
        <w:spacing w:after="0" w:line="240" w:lineRule="auto"/>
        <w:rPr>
          <w:rFonts w:ascii="Arial-BoldMT" w:hAnsi="Arial-BoldMT" w:cs="Arial-BoldMT"/>
          <w:b/>
          <w:bCs/>
          <w:color w:val="000000"/>
          <w:sz w:val="22"/>
          <w:szCs w:val="15"/>
          <w:kern w:val="0"/>
        </w:rPr>
      </w:pPr>
    </w:p>
    <w:p>
      <w:pPr>
        <w:pStyle w:val="a3"/>
        <w:jc w:val="left"/>
        <w:numPr>
          <w:ilvl w:val="0"/>
          <w:numId w:val="4"/>
        </w:numPr>
        <w:spacing w:line="276" w:lineRule="auto"/>
        <w:rPr>
          <w:rFonts w:ascii="Arial" w:hAnsi="Arial" w:cs="Arial"/>
          <w:strike w:val="off"/>
          <w:szCs w:val="20"/>
        </w:rPr>
      </w:pPr>
      <w:r>
        <w:rPr>
          <w:rFonts w:ascii="Arial" w:hAnsi="Arial" w:cs="Arial"/>
          <w:strike w:val="off"/>
          <w:szCs w:val="20"/>
        </w:rPr>
        <w:t>Development of Therapeutic Nanomedicines Based on Bionanomaterials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Establish and utilize a smart lab for analyzing effective candidate groups for nanomedicines using open AI platforms.</w:t>
      </w:r>
    </w:p>
    <w:p>
      <w:pPr>
        <w:adjustRightInd/>
        <w:pStyle w:val="a4"/>
        <w:ind w:leftChars="0"/>
        <w:wordWrap/>
        <w:jc w:val="left"/>
        <w:numPr>
          <w:ilvl w:val="0"/>
          <w:numId w:val="3"/>
        </w:numPr>
        <w:spacing w:after="0" w:line="276" w:lineRule="auto"/>
        <w:rPr>
          <w:rFonts w:ascii="Arial" w:hAnsi="Arial" w:cs="Arial"/>
          <w:color w:val="000000"/>
          <w:sz w:val="18"/>
          <w:szCs w:val="18"/>
        </w:rPr>
      </w:pPr>
      <w:r>
        <w:rPr>
          <w:rFonts w:ascii="Arial" w:hAnsi="Arial" w:cs="Arial"/>
          <w:color w:val="000000"/>
          <w:szCs w:val="20"/>
        </w:rPr>
        <w:t>Develop commercialization technologies for diagnostic and therapeutic nanomedicines utilizing bionanomaterials.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Submit at least two regulatory submissions in Korea for nanomedicines/medical devices based on bionanomaterials.</w:t>
      </w:r>
    </w:p>
    <w:p>
      <w:pPr>
        <w:pStyle w:val="a3"/>
        <w:jc w:val="left"/>
        <w:numPr>
          <w:ilvl w:val="0"/>
          <w:numId w:val="4"/>
        </w:numPr>
        <w:spacing w:line="276" w:lineRule="auto"/>
        <w:rPr>
          <w:rFonts w:ascii="Arial" w:hAnsi="Arial" w:cs="Arial"/>
          <w:strike w:val="off"/>
          <w:szCs w:val="20"/>
        </w:rPr>
      </w:pPr>
      <w:r>
        <w:rPr>
          <w:rFonts w:ascii="Arial" w:hAnsi="Arial" w:cs="Arial"/>
          <w:strike w:val="off"/>
          <w:szCs w:val="20"/>
        </w:rPr>
        <w:t>Development of High-Performance Diagnostic Medical Devices Based on Superparamagnetic Bio-Nanobeads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Develop mass production technologies for superparamagnetic bio-nanobead materials.</w:t>
      </w:r>
    </w:p>
    <w:p>
      <w:pPr>
        <w:adjustRightInd/>
        <w:pStyle w:val="a4"/>
        <w:ind w:leftChars="0"/>
        <w:wordWrap/>
        <w:jc w:val="left"/>
        <w:numPr>
          <w:ilvl w:val="0"/>
          <w:numId w:val="3"/>
        </w:numPr>
        <w:spacing w:after="0" w:line="276" w:lineRule="auto"/>
        <w:rPr>
          <w:rFonts w:ascii="Arial" w:hAnsi="Arial" w:cs="Arial"/>
          <w:color w:val="000000"/>
          <w:sz w:val="18"/>
          <w:szCs w:val="18"/>
        </w:rPr>
      </w:pPr>
      <w:r>
        <w:rPr>
          <w:rFonts w:ascii="Arial" w:hAnsi="Arial" w:cs="Arial"/>
          <w:color w:val="000000"/>
          <w:szCs w:val="20"/>
        </w:rPr>
        <w:t>Develop convergence technologies for enhancing the performance of diagnostic medical devices.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Submit domestic regulatory submissions for high-performance diagnostic medical devices based on superparamagnetic bio-nanobeads.</w:t>
      </w:r>
    </w:p>
    <w:p>
      <w:pPr>
        <w:pStyle w:val="a3"/>
        <w:jc w:val="left"/>
        <w:numPr>
          <w:ilvl w:val="0"/>
          <w:numId w:val="4"/>
        </w:numPr>
        <w:spacing w:line="276" w:lineRule="auto"/>
        <w:rPr>
          <w:rFonts w:ascii="Arial" w:hAnsi="Arial" w:cs="Arial"/>
          <w:strike w:val="off"/>
          <w:szCs w:val="20"/>
        </w:rPr>
      </w:pPr>
      <w:r>
        <w:rPr>
          <w:rFonts w:ascii="Arial" w:hAnsi="Arial" w:cs="Arial"/>
          <w:strike w:val="off"/>
          <w:szCs w:val="20"/>
        </w:rPr>
        <w:t>Development of Mass Production Technologies for Diagnostic and Therapeutic Products Based on Bionanomaterials</w:t>
      </w:r>
    </w:p>
    <w:p>
      <w:pPr>
        <w:adjustRightInd/>
        <w:pStyle w:val="a4"/>
        <w:ind w:leftChars="0"/>
        <w:wordWrap/>
        <w:jc w:val="left"/>
        <w:numPr>
          <w:ilvl w:val="0"/>
          <w:numId w:val="3"/>
        </w:numPr>
        <w:spacing w:after="0" w:line="276" w:lineRule="auto"/>
        <w:rPr>
          <w:rFonts w:ascii="Arial-BoldMT" w:hAnsi="Arial-BoldMT" w:cs="Arial-BoldMT"/>
          <w:b/>
          <w:bCs/>
          <w:color w:val="000000"/>
          <w:szCs w:val="15"/>
          <w:kern w:val="0"/>
        </w:rPr>
      </w:pPr>
      <w:r>
        <w:rPr>
          <w:rFonts w:ascii="Arial" w:hAnsi="Arial" w:cs="Arial"/>
          <w:color w:val="000000"/>
          <w:szCs w:val="20"/>
        </w:rPr>
        <w:t>Develop core modules for mass production of superparamagnetic bio-nanobeads.</w:t>
      </w:r>
    </w:p>
    <w:p>
      <w:pPr>
        <w:adjustRightInd/>
        <w:pStyle w:val="a4"/>
        <w:ind w:leftChars="0"/>
        <w:wordWrap/>
        <w:jc w:val="left"/>
        <w:numPr>
          <w:ilvl w:val="0"/>
          <w:numId w:val="3"/>
        </w:numPr>
        <w:spacing w:after="0" w:line="276" w:lineRule="auto"/>
        <w:rPr>
          <w:rFonts w:ascii="Arial-BoldMT" w:hAnsi="Arial-BoldMT" w:cs="Arial-BoldMT"/>
          <w:b/>
          <w:bCs/>
          <w:color w:val="000000"/>
          <w:szCs w:val="15"/>
          <w:kern w:val="0"/>
        </w:rPr>
      </w:pPr>
      <w:r>
        <w:rPr>
          <w:rFonts w:ascii="Arial" w:hAnsi="Arial" w:cs="Arial"/>
          <w:szCs w:val="20"/>
        </w:rPr>
        <w:t>Develop cGMP-grade precision dispensing technologies for nanobeads, including material and system development.</w:t>
      </w:r>
    </w:p>
    <w:p>
      <w:pPr>
        <w:adjustRightInd/>
        <w:pStyle w:val="a4"/>
        <w:ind w:leftChars="0"/>
        <w:wordWrap/>
        <w:jc w:val="left"/>
        <w:numPr>
          <w:ilvl w:val="0"/>
          <w:numId w:val="3"/>
        </w:numPr>
        <w:spacing w:after="0" w:line="276" w:lineRule="auto"/>
        <w:rPr>
          <w:lang w:eastAsia="ko-KR"/>
          <w:rFonts w:ascii="Arial-BoldMT" w:hAnsi="Arial-BoldMT" w:cs="Arial-BoldMT" w:hint="eastAsia"/>
          <w:color w:val="000000"/>
          <w:szCs w:val="15"/>
          <w:kern w:val="0"/>
          <w:rtl w:val="off"/>
        </w:rPr>
      </w:pPr>
      <w:r>
        <w:rPr>
          <w:rFonts w:ascii="Arial-BoldMT" w:hAnsi="Arial-BoldMT" w:cs="Arial-BoldMT"/>
          <w:color w:val="000000"/>
          <w:szCs w:val="15"/>
          <w:kern w:val="0"/>
        </w:rPr>
        <w:t xml:space="preserve">Establish a </w:t>
      </w:r>
      <w:r>
        <w:rPr>
          <w:rFonts w:ascii="Arial-BoldMT" w:hAnsi="Arial-BoldMT" w:cs="Arial-BoldMT"/>
          <w:color w:val="000000"/>
          <w:szCs w:val="15"/>
          <w:kern w:val="0"/>
        </w:rPr>
        <w:t>QbD</w:t>
      </w:r>
      <w:r>
        <w:rPr>
          <w:rFonts w:ascii="Arial-BoldMT" w:hAnsi="Arial-BoldMT" w:cs="Arial-BoldMT"/>
          <w:color w:val="000000"/>
          <w:szCs w:val="15"/>
          <w:kern w:val="0"/>
        </w:rPr>
        <w:t xml:space="preserve"> (Quality by Design)-based integrated cGMP-grade mass production system for bionanomaterials and related products, leveraging global collaboration.</w:t>
      </w:r>
    </w:p>
    <w:p>
      <w:pPr>
        <w:adjustRightInd/>
        <w:pStyle w:val="a4"/>
        <w:ind w:leftChars="0" w:left="800"/>
        <w:wordWrap/>
        <w:jc w:val="left"/>
        <w:spacing w:after="0" w:line="276" w:lineRule="auto"/>
        <w:rPr>
          <w:rFonts w:ascii="Arial-BoldMT" w:hAnsi="Arial-BoldMT" w:cs="Arial-BoldMT"/>
          <w:color w:val="000000"/>
          <w:szCs w:val="15"/>
          <w:kern w:val="0"/>
        </w:rPr>
      </w:pPr>
    </w:p>
    <w:p>
      <w:pPr>
        <w:adjustRightInd/>
        <w:ind w:leftChars="0"/>
        <w:wordWrap/>
        <w:jc w:val="left"/>
        <w:spacing w:after="0" w:line="276" w:lineRule="auto"/>
        <w:rPr>
          <w:rFonts w:ascii="Arial-BoldMT" w:hAnsi="Arial-BoldMT" w:cs="Arial-BoldMT"/>
          <w:b w:val="0"/>
          <w:bCs w:val="0"/>
          <w:color w:val="000000"/>
          <w:szCs w:val="15"/>
          <w:kern w:val="0"/>
        </w:rPr>
      </w:pPr>
      <w:r>
        <w:rPr>
          <w:lang w:eastAsia="ko-KR"/>
          <w:rFonts w:ascii="Arial-BoldMT" w:hAnsi="Arial-BoldMT" w:cs="Arial-BoldMT"/>
          <w:b w:val="0"/>
          <w:bCs w:val="0"/>
          <w:color w:val="000000"/>
          <w:szCs w:val="15"/>
          <w:kern w:val="0"/>
          <w:rtl w:val="off"/>
        </w:rPr>
        <w:t xml:space="preserve">    ※ </w:t>
      </w:r>
      <w:r>
        <w:rPr>
          <w:rFonts w:ascii="Arial-BoldMT" w:hAnsi="Arial-BoldMT" w:cs="Arial-BoldMT"/>
          <w:b w:val="0"/>
          <w:bCs w:val="0"/>
          <w:color w:val="000000"/>
          <w:szCs w:val="15"/>
          <w:kern w:val="0"/>
        </w:rPr>
        <w:t>R&amp;D proposals must specify quantitative targets and commercialization levels for the following items:</w:t>
      </w:r>
    </w:p>
    <w:p>
      <w:pPr>
        <w:adjustRightInd/>
        <w:pStyle w:val="a4"/>
        <w:ind w:leftChars="0"/>
        <w:wordWrap/>
        <w:jc w:val="left"/>
        <w:numPr>
          <w:ilvl w:val="0"/>
          <w:numId w:val="5"/>
        </w:numPr>
        <w:spacing w:after="0" w:line="240" w:lineRule="auto"/>
        <w:rPr>
          <w:rFonts w:ascii="Arial" w:hAnsi="Arial" w:cs="Arial"/>
          <w:b w:val="0"/>
          <w:bCs w:val="0"/>
          <w:color w:val="000000"/>
          <w:szCs w:val="15"/>
          <w:kern w:val="0"/>
        </w:rPr>
      </w:pPr>
      <w:r>
        <w:rPr>
          <w:rFonts w:ascii="Arial" w:hAnsi="Arial" w:cs="Arial" w:hint="eastAsia"/>
          <w:b w:val="0"/>
          <w:bCs w:val="0"/>
          <w:color w:val="000000"/>
          <w:szCs w:val="15"/>
          <w:kern w:val="0"/>
        </w:rPr>
        <w:t xml:space="preserve">1) </w:t>
      </w:r>
      <w:r>
        <w:rPr>
          <w:rFonts w:ascii="Arial" w:hAnsi="Arial" w:cs="Arial"/>
          <w:b w:val="0"/>
          <w:bCs w:val="0"/>
          <w:color w:val="000000"/>
          <w:szCs w:val="15"/>
          <w:kern w:val="0"/>
        </w:rPr>
        <w:t xml:space="preserve">Number of obtained effective candidate groups </w:t>
      </w:r>
      <w:r>
        <w:rPr>
          <w:rFonts w:ascii="Arial" w:hAnsi="Arial" w:cs="Arial" w:hint="eastAsia"/>
          <w:b w:val="0"/>
          <w:bCs w:val="0"/>
          <w:color w:val="000000"/>
          <w:szCs w:val="15"/>
          <w:kern w:val="0"/>
        </w:rPr>
        <w:t xml:space="preserve">2) </w:t>
      </w:r>
      <w:r>
        <w:rPr>
          <w:rFonts w:ascii="Arial" w:hAnsi="Arial" w:cs="Arial"/>
          <w:b w:val="0"/>
          <w:bCs w:val="0"/>
          <w:color w:val="000000"/>
          <w:szCs w:val="15"/>
          <w:kern w:val="0"/>
        </w:rPr>
        <w:t xml:space="preserve">number of bionanomaterials developed </w:t>
      </w:r>
      <w:r>
        <w:rPr>
          <w:rFonts w:ascii="Arial" w:hAnsi="Arial" w:cs="Arial" w:hint="eastAsia"/>
          <w:b w:val="0"/>
          <w:bCs w:val="0"/>
          <w:color w:val="000000"/>
          <w:szCs w:val="15"/>
          <w:kern w:val="0"/>
        </w:rPr>
        <w:t xml:space="preserve">3) </w:t>
      </w:r>
      <w:r>
        <w:rPr>
          <w:rFonts w:ascii="Arial" w:hAnsi="Arial" w:cs="Arial"/>
          <w:b w:val="0"/>
          <w:bCs w:val="0"/>
          <w:color w:val="000000"/>
          <w:szCs w:val="15"/>
          <w:kern w:val="0"/>
        </w:rPr>
        <w:t xml:space="preserve">number of convergence technologies developed </w:t>
      </w:r>
      <w:r>
        <w:rPr>
          <w:rFonts w:ascii="Arial" w:hAnsi="Arial" w:cs="Arial" w:hint="eastAsia"/>
          <w:b w:val="0"/>
          <w:bCs w:val="0"/>
          <w:color w:val="000000"/>
          <w:szCs w:val="15"/>
          <w:kern w:val="0"/>
        </w:rPr>
        <w:t xml:space="preserve">4) </w:t>
      </w:r>
      <w:r>
        <w:rPr>
          <w:rFonts w:ascii="Arial" w:hAnsi="Arial" w:cs="Arial"/>
          <w:b w:val="0"/>
          <w:bCs w:val="0"/>
          <w:color w:val="000000"/>
          <w:szCs w:val="15"/>
          <w:kern w:val="0"/>
        </w:rPr>
        <w:t xml:space="preserve">number of core modules/equipment developed </w:t>
      </w:r>
      <w:r>
        <w:rPr>
          <w:rFonts w:ascii="Arial" w:hAnsi="Arial" w:cs="Arial" w:hint="eastAsia"/>
          <w:b w:val="0"/>
          <w:bCs w:val="0"/>
          <w:color w:val="000000"/>
          <w:szCs w:val="15"/>
          <w:kern w:val="0"/>
        </w:rPr>
        <w:t xml:space="preserve">5) </w:t>
      </w:r>
      <w:r>
        <w:rPr>
          <w:rFonts w:ascii="Arial" w:hAnsi="Arial" w:cs="Arial"/>
          <w:b w:val="0"/>
          <w:bCs w:val="0"/>
          <w:color w:val="000000"/>
          <w:szCs w:val="15"/>
          <w:kern w:val="0"/>
        </w:rPr>
        <w:t xml:space="preserve">number of batches of GMP production demonstrations </w:t>
      </w:r>
      <w:r>
        <w:rPr>
          <w:rFonts w:ascii="Arial" w:hAnsi="Arial" w:cs="Arial" w:hint="eastAsia"/>
          <w:b w:val="0"/>
          <w:bCs w:val="0"/>
          <w:color w:val="000000"/>
          <w:szCs w:val="15"/>
          <w:kern w:val="0"/>
        </w:rPr>
        <w:t xml:space="preserve">6) </w:t>
      </w:r>
      <w:r>
        <w:rPr>
          <w:rFonts w:ascii="Arial" w:hAnsi="Arial" w:cs="Arial"/>
          <w:b w:val="0"/>
          <w:bCs w:val="0"/>
          <w:color w:val="000000"/>
          <w:szCs w:val="15"/>
          <w:kern w:val="0"/>
        </w:rPr>
        <w:t xml:space="preserve">number of IND applications for nanomedicines </w:t>
      </w:r>
      <w:r>
        <w:rPr>
          <w:rFonts w:ascii="Arial" w:hAnsi="Arial" w:cs="Arial" w:hint="eastAsia"/>
          <w:b w:val="0"/>
          <w:bCs w:val="0"/>
          <w:color w:val="000000"/>
          <w:szCs w:val="15"/>
          <w:kern w:val="0"/>
        </w:rPr>
        <w:t xml:space="preserve">7) </w:t>
      </w:r>
      <w:r>
        <w:rPr>
          <w:rFonts w:ascii="Arial" w:hAnsi="Arial" w:cs="Arial"/>
          <w:b w:val="0"/>
          <w:bCs w:val="0"/>
          <w:color w:val="000000"/>
          <w:szCs w:val="15"/>
          <w:kern w:val="0"/>
        </w:rPr>
        <w:t>number of regulatory submissions for diagnostic devices</w:t>
      </w:r>
    </w:p>
    <w:p>
      <w:pPr>
        <w:adjustRightInd/>
        <w:pStyle w:val="a4"/>
        <w:ind w:leftChars="0"/>
        <w:wordWrap/>
        <w:jc w:val="left"/>
        <w:spacing w:after="0" w:line="240" w:lineRule="auto"/>
        <w:rPr>
          <w:rFonts w:ascii="Arial" w:hAnsi="Arial" w:cs="Arial"/>
          <w:b/>
          <w:bCs/>
          <w:color w:val="000000"/>
          <w:szCs w:val="15"/>
          <w:kern w:val="0"/>
        </w:rPr>
      </w:pP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b/>
          <w:bCs/>
          <w:color w:val="000000"/>
          <w:sz w:val="22"/>
          <w:szCs w:val="20"/>
        </w:rPr>
        <w:t xml:space="preserve">3. </w:t>
      </w:r>
      <w:r>
        <w:rPr>
          <w:rFonts w:ascii="Arial" w:hAnsi="Arial" w:cs="Arial" w:hint="eastAsia"/>
          <w:b/>
          <w:bCs/>
          <w:color w:val="000000"/>
          <w:sz w:val="22"/>
          <w:szCs w:val="20"/>
        </w:rPr>
        <w:t>Rational for Government Support</w:t>
      </w:r>
    </w:p>
    <w:p>
      <w:pPr>
        <w:adjustRightInd/>
        <w:wordWrap/>
        <w:jc w:val="left"/>
        <w:spacing w:after="0" w:line="240" w:lineRule="auto"/>
        <w:rPr>
          <w:rFonts w:ascii="Arial-BoldMT" w:eastAsiaTheme="minorEastAsia" w:hAnsi="Arial-BoldMT" w:cs="Arial-BoldMT"/>
          <w:b/>
          <w:bCs/>
          <w:strike w:val="off"/>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67456" allowOverlap="1" hidden="0">
                <wp:simplePos x="0" y="0"/>
                <wp:positionH relativeFrom="column">
                  <wp:posOffset>0</wp:posOffset>
                </wp:positionH>
                <wp:positionV relativeFrom="paragraph">
                  <wp:posOffset>-635</wp:posOffset>
                </wp:positionV>
                <wp:extent cx="5895975" cy="0"/>
                <wp:effectExtent l="49530" t="26529" r="49530" b="72530"/>
                <wp:wrapNone/>
                <wp:docPr id="1027" name="shape1027"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67456" o:allowincell="t" filled="f" strokecolor="#0">
                <v:stroke joinstyle="round"/>
              </v:line>
            </w:pict>
          </mc:Fallback>
        </mc:AlternateContent>
      </w:r>
    </w:p>
    <w:p>
      <w:pPr>
        <w:adjustRightInd/>
        <w:wordWrap/>
        <w:jc w:val="left"/>
        <w:spacing w:after="0" w:line="240" w:lineRule="auto"/>
        <w:rPr>
          <w:rFonts w:ascii="Arial" w:eastAsia="맑은 고딕" w:hAnsi="Arial" w:cs="Arial"/>
          <w:szCs w:val="20"/>
        </w:rPr>
      </w:pPr>
      <w:r>
        <w:rPr>
          <w:lang w:eastAsia="ko-KR"/>
          <w:rFonts w:ascii="Arial" w:eastAsia="맑은 고딕" w:hAnsi="Arial" w:cs="Arial"/>
          <w:szCs w:val="20"/>
          <w:rtl w:val="off"/>
        </w:rPr>
        <w:t>P</w:t>
      </w:r>
      <w:r>
        <w:rPr>
          <w:rFonts w:ascii="Arial" w:eastAsia="맑은 고딕" w:hAnsi="Arial" w:cs="Arial"/>
          <w:szCs w:val="20"/>
        </w:rPr>
        <w:t>rimarily focused on developing generic medicines</w:t>
      </w:r>
      <w:r>
        <w:rPr>
          <w:lang w:eastAsia="ko-KR"/>
          <w:rFonts w:ascii="Arial" w:eastAsia="맑은 고딕" w:hAnsi="Arial" w:cs="Arial"/>
          <w:szCs w:val="20"/>
          <w:rtl w:val="off"/>
        </w:rPr>
        <w:t xml:space="preserve"> and</w:t>
      </w:r>
      <w:r>
        <w:rPr>
          <w:rFonts w:ascii="Arial" w:eastAsia="맑은 고딕" w:hAnsi="Arial" w:cs="Arial"/>
          <w:szCs w:val="20"/>
        </w:rPr>
        <w:t xml:space="preserve"> acquiring high-quality nanomedicine manufacturing technologies </w:t>
      </w:r>
    </w:p>
    <w:p>
      <w:pPr>
        <w:adjustRightInd/>
        <w:wordWrap/>
        <w:jc w:val="left"/>
        <w:spacing w:after="0" w:line="240" w:lineRule="auto"/>
        <w:rPr>
          <w:rFonts w:ascii="Arial" w:eastAsia="맑은 고딕" w:hAnsi="Arial" w:cs="Arial"/>
          <w:szCs w:val="2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hint="eastAsia"/>
          <w:b/>
          <w:bCs/>
          <w:color w:val="000000"/>
          <w:sz w:val="22"/>
          <w:szCs w:val="20"/>
        </w:rPr>
        <w:t>4</w:t>
      </w:r>
      <w:r>
        <w:rPr>
          <w:rFonts w:ascii="Arial" w:hAnsi="Arial" w:cs="Arial"/>
          <w:b/>
          <w:bCs/>
          <w:color w:val="000000"/>
          <w:sz w:val="22"/>
          <w:szCs w:val="20"/>
        </w:rPr>
        <w:t xml:space="preserve">. </w:t>
      </w:r>
      <w:r>
        <w:rPr>
          <w:rFonts w:ascii="Arial" w:hAnsi="Arial" w:cs="Arial" w:hint="eastAsia"/>
          <w:b/>
          <w:bCs/>
          <w:color w:val="000000"/>
          <w:sz w:val="22"/>
          <w:szCs w:val="20"/>
        </w:rPr>
        <w:t>Field of Application</w:t>
      </w:r>
    </w:p>
    <w:p>
      <w:pPr>
        <w:adjustRightInd/>
        <w:wordWrap/>
        <w:jc w:val="left"/>
        <w:spacing w:after="0" w:line="240" w:lineRule="auto"/>
        <w:rPr>
          <w:rFonts w:ascii="Arial-BoldMT" w:hAnsi="Arial-BoldMT" w:cs="Arial-BoldMT"/>
          <w:b/>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76672" allowOverlap="1" hidden="0">
                <wp:simplePos x="0" y="0"/>
                <wp:positionH relativeFrom="column">
                  <wp:posOffset>0</wp:posOffset>
                </wp:positionH>
                <wp:positionV relativeFrom="paragraph">
                  <wp:posOffset>-635</wp:posOffset>
                </wp:positionV>
                <wp:extent cx="5895975" cy="0"/>
                <wp:effectExtent l="49530" t="26529" r="49530" b="72530"/>
                <wp:wrapNone/>
                <wp:docPr id="1028" name="shape1028"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6672" o:allowincell="t" filled="f" strokecolor="#0">
                <v:stroke joinstyle="round"/>
              </v:line>
            </w:pict>
          </mc:Fallback>
        </mc:AlternateContent>
      </w:r>
    </w:p>
    <w:p>
      <w:pPr>
        <w:adjustRightInd/>
        <w:wordWrap/>
        <w:jc w:val="left"/>
        <w:spacing w:after="0" w:line="240" w:lineRule="auto"/>
        <w:rPr>
          <w:rFonts w:ascii="Arial" w:eastAsia="맑은 고딕" w:hAnsi="Arial" w:cs="Arial"/>
          <w:szCs w:val="20"/>
        </w:rPr>
      </w:pPr>
      <w:r>
        <w:rPr>
          <w:rFonts w:ascii="Arial" w:eastAsia="맑은 고딕" w:hAnsi="Arial" w:cs="Arial"/>
          <w:szCs w:val="20"/>
        </w:rPr>
        <w:t>Diagnostics and therapeutics for intractable diseases based on nanomedicines, as well as industrial animal pharmaceuticals.</w:t>
      </w:r>
    </w:p>
    <w:p>
      <w:pPr>
        <w:adjustRightInd/>
        <w:wordWrap/>
        <w:jc w:val="left"/>
        <w:spacing w:after="0" w:line="240" w:lineRule="auto"/>
        <w:rPr>
          <w:rFonts w:ascii="Arial" w:eastAsia="맑은 고딕" w:hAnsi="Arial" w:cs="Arial"/>
          <w:szCs w:val="20"/>
        </w:rPr>
      </w:pP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hint="eastAsia"/>
          <w:b/>
          <w:bCs/>
          <w:color w:val="000000"/>
          <w:sz w:val="22"/>
          <w:szCs w:val="20"/>
        </w:rPr>
        <w:t>5</w:t>
      </w:r>
      <w:r>
        <w:rPr>
          <w:rFonts w:ascii="Arial" w:hAnsi="Arial" w:cs="Arial"/>
          <w:b/>
          <w:bCs/>
          <w:color w:val="000000"/>
          <w:sz w:val="22"/>
          <w:szCs w:val="20"/>
        </w:rPr>
        <w:t xml:space="preserve">. </w:t>
      </w:r>
      <w:r>
        <w:rPr>
          <w:rFonts w:ascii="Arial" w:hAnsi="Arial" w:cs="Arial"/>
          <w:b/>
          <w:bCs/>
          <w:color w:val="000000"/>
          <w:sz w:val="22"/>
          <w:szCs w:val="20"/>
        </w:rPr>
        <w:t>Agency Contacts</w:t>
      </w:r>
    </w:p>
    <w:p>
      <w:pPr>
        <w:adjustRightInd/>
        <w:wordWrap/>
        <w:jc w:val="left"/>
        <w:spacing w:after="0" w:line="240" w:lineRule="auto"/>
        <w:rPr>
          <w:rFonts w:ascii="Arial-BoldMT" w:hAnsi="Arial-BoldMT" w:cs="Arial-BoldMT"/>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69504" allowOverlap="1" hidden="0">
                <wp:simplePos x="0" y="0"/>
                <wp:positionH relativeFrom="column">
                  <wp:posOffset>0</wp:posOffset>
                </wp:positionH>
                <wp:positionV relativeFrom="paragraph">
                  <wp:posOffset>0</wp:posOffset>
                </wp:positionV>
                <wp:extent cx="5895975" cy="0"/>
                <wp:effectExtent l="49530" t="26529" r="49530" b="72530"/>
                <wp:wrapNone/>
                <wp:docPr id="1029" name="shape1029"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69504" o:allowincell="t" filled="f" strokecolor="#0">
                <v:stroke joinstyle="round"/>
              </v:line>
            </w:pict>
          </mc:Fallback>
        </mc:AlternateContent>
      </w:r>
    </w:p>
    <w:p>
      <w:pPr>
        <w:adjustRightInd/>
        <w:wordWrap/>
        <w:jc w:val="left"/>
        <w:spacing w:after="0" w:line="36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 xml:space="preserve">For </w:t>
      </w:r>
      <w:r>
        <w:rPr>
          <w:rFonts w:ascii="Arial-BoldMT" w:hAnsi="Arial-BoldMT" w:cs="Arial-BoldMT"/>
          <w:b/>
          <w:bCs/>
          <w:color w:val="000000"/>
          <w:sz w:val="22"/>
          <w:szCs w:val="15"/>
          <w:kern w:val="0"/>
        </w:rPr>
        <w:t>q</w:t>
      </w:r>
      <w:r>
        <w:rPr>
          <w:rFonts w:ascii="Arial-BoldMT" w:hAnsi="Arial-BoldMT" w:cs="Arial-BoldMT" w:hint="eastAsia"/>
          <w:b/>
          <w:bCs/>
          <w:color w:val="000000"/>
          <w:sz w:val="22"/>
          <w:szCs w:val="15"/>
          <w:kern w:val="0"/>
        </w:rPr>
        <w:t xml:space="preserve">uestions relating to </w:t>
      </w:r>
      <w:r>
        <w:rPr>
          <w:rFonts w:ascii="Arial-BoldMT" w:hAnsi="Arial-BoldMT" w:cs="Arial-BoldMT"/>
          <w:b/>
          <w:bCs/>
          <w:color w:val="000000"/>
          <w:sz w:val="22"/>
          <w:szCs w:val="15"/>
          <w:kern w:val="0"/>
        </w:rPr>
        <w:t>r</w:t>
      </w:r>
      <w:r>
        <w:rPr>
          <w:rFonts w:ascii="Arial-BoldMT" w:hAnsi="Arial-BoldMT" w:cs="Arial-BoldMT"/>
          <w:b/>
          <w:bCs/>
          <w:color w:val="000000"/>
          <w:sz w:val="22"/>
          <w:szCs w:val="15"/>
          <w:kern w:val="0"/>
        </w:rPr>
        <w:t xml:space="preserve">equest </w:t>
      </w:r>
      <w:r>
        <w:rPr>
          <w:rFonts w:ascii="Arial-BoldMT" w:hAnsi="Arial-BoldMT" w:cs="Arial-BoldMT"/>
          <w:b/>
          <w:bCs/>
          <w:color w:val="000000"/>
          <w:sz w:val="22"/>
          <w:szCs w:val="15"/>
          <w:kern w:val="0"/>
        </w:rPr>
        <w:t>f</w:t>
      </w:r>
      <w:r>
        <w:rPr>
          <w:rFonts w:ascii="Arial-BoldMT" w:hAnsi="Arial-BoldMT" w:cs="Arial-BoldMT"/>
          <w:b/>
          <w:bCs/>
          <w:color w:val="000000"/>
          <w:sz w:val="22"/>
          <w:szCs w:val="15"/>
          <w:kern w:val="0"/>
        </w:rPr>
        <w:t xml:space="preserve">or proposal </w:t>
      </w:r>
      <w:r>
        <w:rPr>
          <w:rFonts w:ascii="Arial-BoldMT" w:hAnsi="Arial-BoldMT" w:cs="Arial-BoldMT"/>
          <w:b/>
          <w:bCs/>
          <w:color w:val="000000"/>
          <w:sz w:val="22"/>
          <w:szCs w:val="15"/>
          <w:kern w:val="0"/>
        </w:rPr>
        <w:t>contact</w:t>
      </w:r>
      <w:r>
        <w:rPr>
          <w:rFonts w:ascii="Arial-BoldMT" w:hAnsi="Arial-BoldMT" w:cs="Arial-BoldMT"/>
          <w:b/>
          <w:bCs/>
          <w:color w:val="000000"/>
          <w:sz w:val="22"/>
          <w:szCs w:val="15"/>
          <w:kern w:val="0"/>
        </w:rPr>
        <w:t xml:space="preserve">: </w:t>
      </w:r>
    </w:p>
    <w:p>
      <w:pPr>
        <w:pStyle w:val="a3"/>
        <w:jc w:val="left"/>
        <w:pBdr>
          <w:bottom w:val="none" w:sz="2" w:space="0" w:color="000000"/>
        </w:pBdr>
        <w:numPr>
          <w:ilvl w:val="0"/>
          <w:numId w:val="2"/>
        </w:numPr>
        <w:rPr>
          <w:lang w:eastAsia="ko-KR"/>
          <w:rFonts w:ascii="Arial" w:hAnsi="Arial" w:cs="Arial" w:hint="eastAsia"/>
          <w:strike w:val="off"/>
          <w:szCs w:val="20"/>
          <w:rtl w:val="off"/>
        </w:rPr>
      </w:pPr>
      <w:r>
        <w:rPr>
          <w:rFonts w:ascii="Arial" w:hAnsi="Arial" w:cs="Arial"/>
          <w:strike w:val="off"/>
          <w:szCs w:val="20"/>
        </w:rPr>
        <w:t>Bio PD (</w:t>
      </w:r>
      <w:r>
        <w:rPr>
          <w:rFonts w:ascii="Cambria Math" w:hAnsi="Cambria Math" w:cs="Cambria Math"/>
          <w:strike w:val="off"/>
          <w:szCs w:val="20"/>
        </w:rPr>
        <w:t>①</w:t>
      </w:r>
      <w:r>
        <w:rPr>
          <w:rFonts w:ascii="Arial" w:hAnsi="Arial" w:cs="Arial"/>
          <w:strike w:val="off"/>
          <w:szCs w:val="20"/>
        </w:rPr>
        <w:t xml:space="preserve">Customized Diagnostic and Therapeutic Products, </w:t>
      </w:r>
      <w:r>
        <w:rPr>
          <w:rFonts w:ascii="Cambria Math" w:hAnsi="Cambria Math" w:cs="Cambria Math"/>
          <w:strike w:val="off"/>
          <w:szCs w:val="20"/>
        </w:rPr>
        <w:t>②</w:t>
      </w:r>
      <w:r>
        <w:rPr>
          <w:rFonts w:ascii="Arial" w:hAnsi="Arial" w:cs="Arial"/>
          <w:strike w:val="off"/>
          <w:szCs w:val="20"/>
        </w:rPr>
        <w:t>Advanced Bio-Materials) TEL +82-53-718-8562 (hckim@keit.re.kr)</w:t>
      </w:r>
    </w:p>
    <w:p>
      <w:pPr>
        <w:pStyle w:val="a3"/>
        <w:ind w:leftChars="0" w:left="800"/>
        <w:jc w:val="left"/>
        <w:pBdr>
          <w:bottom w:val="none" w:sz="2" w:space="0" w:color="000000"/>
        </w:pBdr>
        <w:rPr>
          <w:rFonts w:ascii="Arial" w:hAnsi="Arial" w:cs="Arial"/>
          <w:strike w:val="off"/>
          <w:szCs w:val="20"/>
        </w:rPr>
      </w:pPr>
    </w:p>
    <w:p>
      <w:pPr>
        <w:adjustRightInd/>
        <w:wordWrap/>
        <w:jc w:val="left"/>
        <w:spacing w:after="0" w:line="276" w:lineRule="auto"/>
        <w:rPr>
          <w:rFonts w:ascii="Arial" w:hAnsi="Arial" w:cs="Arial"/>
          <w:b/>
          <w:bCs/>
          <w:sz w:val="24"/>
          <w:szCs w:val="24"/>
        </w:rPr>
      </w:pPr>
      <w:r>
        <w:rPr>
          <w:rFonts w:ascii="Arial" w:hAnsi="Arial" w:cs="Arial"/>
          <w:b/>
          <w:bCs/>
          <w:sz w:val="24"/>
          <w:szCs w:val="24"/>
        </w:rPr>
        <w:br w:type="page"/>
      </w:r>
    </w:p>
    <w:p>
      <w:pPr>
        <w:pStyle w:val="a3"/>
        <w:jc w:val="left"/>
        <w:spacing w:line="276" w:lineRule="auto"/>
        <w:rPr>
          <w:lang w:eastAsia="ko-KR"/>
          <w:rFonts w:ascii="Arial" w:hAnsi="Arial" w:cs="Arial" w:hint="eastAsia"/>
          <w:b/>
          <w:bCs/>
          <w:sz w:val="24"/>
          <w:szCs w:val="24"/>
          <w:rtl w:val="off"/>
        </w:rPr>
      </w:pPr>
      <w:r>
        <w:rPr>
          <w:rFonts w:ascii="Arial" w:hAnsi="Arial" w:cs="Arial"/>
          <w:b/>
          <w:bCs/>
          <w:strike w:val="off"/>
          <w:color w:val="0070C0"/>
          <w:szCs w:val="20"/>
          <w:u w:val="single" w:color="auto"/>
        </w:rPr>
        <w:t>Project number</w:t>
      </w:r>
      <w:r>
        <w:rPr>
          <w:rFonts w:ascii="Arial" w:hAnsi="Arial" w:cs="Arial"/>
          <w:b/>
          <w:strike w:val="off"/>
          <w:color w:val="0070C0"/>
          <w:szCs w:val="20"/>
          <w:u w:val="single" w:color="auto"/>
        </w:rPr>
        <w:t xml:space="preserve">: </w:t>
      </w:r>
      <w:r>
        <w:rPr>
          <w:rFonts w:ascii="Arial" w:hAnsi="Arial" w:cs="Arial"/>
          <w:b/>
          <w:strike w:val="off"/>
          <w:color w:val="0070C0"/>
          <w:szCs w:val="20"/>
          <w:u w:val="single" w:color="auto"/>
        </w:rPr>
        <w:t>2025-1st-CustomizedDiagnosticTherapeutic</w:t>
      </w:r>
      <w:r>
        <w:rPr>
          <w:rFonts w:ascii="Arial" w:hAnsi="Arial" w:cs="Arial" w:hint="eastAsia"/>
          <w:b/>
          <w:strike w:val="off"/>
          <w:color w:val="0070C0"/>
          <w:szCs w:val="20"/>
          <w:u w:val="single" w:color="auto"/>
        </w:rPr>
        <w:t>-Item</w:t>
      </w:r>
      <w:r>
        <w:rPr>
          <w:rFonts w:ascii="Arial" w:hAnsi="Arial" w:cs="Arial"/>
          <w:b/>
          <w:strike w:val="off"/>
          <w:color w:val="0070C0"/>
          <w:szCs w:val="20"/>
          <w:u w:val="single" w:color="auto"/>
        </w:rPr>
        <w:t>-General-08</w:t>
      </w:r>
    </w:p>
    <w:p>
      <w:pPr>
        <w:adjustRightInd/>
        <w:wordWrap/>
        <w:jc w:val="left"/>
        <w:spacing w:after="0" w:line="276" w:lineRule="auto"/>
        <w:rPr>
          <w:rFonts w:ascii="Arial" w:hAnsi="Arial" w:cs="Arial"/>
          <w:b/>
          <w:bCs/>
          <w:sz w:val="24"/>
          <w:szCs w:val="24"/>
        </w:rPr>
      </w:pPr>
      <w:r>
        <w:rPr>
          <w:rFonts w:ascii="Arial" w:hAnsi="Arial" w:cs="Arial"/>
          <w:b/>
          <w:bCs/>
          <w:sz w:val="24"/>
          <w:szCs w:val="24"/>
        </w:rPr>
        <w:t xml:space="preserve">International </w:t>
      </w:r>
      <w:r>
        <w:rPr>
          <w:rFonts w:ascii="Arial" w:hAnsi="Arial" w:cs="Arial" w:hint="eastAsia"/>
          <w:b/>
          <w:bCs/>
          <w:sz w:val="24"/>
          <w:szCs w:val="24"/>
        </w:rPr>
        <w:t>J</w:t>
      </w:r>
      <w:r>
        <w:rPr>
          <w:rFonts w:ascii="Arial" w:hAnsi="Arial" w:cs="Arial"/>
          <w:b/>
          <w:bCs/>
          <w:sz w:val="24"/>
          <w:szCs w:val="24"/>
        </w:rPr>
        <w:t xml:space="preserve">oint R&amp;D: </w:t>
      </w:r>
      <w:r>
        <w:rPr>
          <w:rFonts w:ascii="Arial" w:hAnsi="Arial" w:cs="Arial" w:hint="eastAsia"/>
          <w:b/>
          <w:sz w:val="24"/>
          <w:szCs w:val="24"/>
        </w:rPr>
        <w:t>Biotechnology</w:t>
      </w:r>
    </w:p>
    <w:p>
      <w:pPr>
        <w:adjustRightInd/>
        <w:autoSpaceDE w:val="off"/>
        <w:autoSpaceDN w:val="off"/>
        <w:widowControl w:val="off"/>
        <w:wordWrap/>
        <w:jc w:val="both"/>
        <w:spacing w:after="0" w:line="276" w:lineRule="auto"/>
        <w:rPr>
          <w:lang w:val="en-US" w:eastAsia="ko-KR" w:bidi="ar-SA"/>
          <w:rFonts w:ascii="Arial" w:eastAsia="맑은 고딕" w:hAnsi="Arial" w:cs="Arial" w:hint="eastAsia"/>
          <w:b/>
          <w:bCs/>
          <w:color w:val="FF0000"/>
          <w:sz w:val="26"/>
          <w:szCs w:val="26"/>
          <w:kern w:val="2"/>
          <w:rtl w:val="off"/>
        </w:rPr>
      </w:pPr>
      <w:r>
        <w:rPr>
          <w:rFonts w:ascii="Arial" w:eastAsiaTheme="minorEastAsia" w:hAnsi="Arial" w:cs="Arial"/>
          <w:b/>
          <w:bCs/>
          <w:strike w:val="off"/>
          <w:color w:val="FF0000"/>
          <w:sz w:val="26"/>
          <w:szCs w:val="22"/>
        </w:rPr>
        <w:t>(</w:t>
      </w:r>
      <w:r>
        <w:rPr>
          <w:rFonts w:ascii="Arial" w:eastAsiaTheme="minorEastAsia" w:hAnsi="Arial" w:cs="Arial"/>
          <w:b/>
          <w:bCs/>
          <w:strike w:val="off"/>
          <w:color w:val="FF0000"/>
          <w:sz w:val="26"/>
          <w:szCs w:val="22"/>
        </w:rPr>
        <w:t>Full</w:t>
      </w:r>
      <w:r>
        <w:rPr>
          <w:rFonts w:ascii="Arial" w:eastAsiaTheme="minorEastAsia" w:hAnsi="Arial" w:cs="Arial"/>
          <w:b/>
          <w:bCs/>
          <w:strike w:val="off"/>
          <w:color w:val="FF0000"/>
          <w:sz w:val="26"/>
          <w:szCs w:val="22"/>
        </w:rPr>
        <w:t xml:space="preserve">) </w:t>
      </w:r>
      <w:r>
        <w:rPr>
          <w:rFonts w:ascii="Arial" w:hAnsi="Arial" w:cs="Arial"/>
          <w:b/>
          <w:bCs/>
          <w:strike w:val="off"/>
          <w:color w:val="FF0000"/>
          <w:sz w:val="22"/>
          <w:szCs w:val="24"/>
        </w:rPr>
        <w:t>Development of Custom Production Processes for Multi- (Dual-) Target Antibodies for Entry into the Global Market</w:t>
      </w:r>
    </w:p>
    <w:p>
      <w:pPr>
        <w:adjustRightInd/>
        <w:autoSpaceDE w:val="off"/>
        <w:autoSpaceDN w:val="off"/>
        <w:widowControl w:val="off"/>
        <w:wordWrap/>
        <w:jc w:val="both"/>
        <w:spacing w:after="0" w:line="276" w:lineRule="auto"/>
        <w:rPr>
          <w:lang w:val="en-US" w:eastAsia="ko-KR" w:bidi="ar-SA"/>
          <w:rFonts w:ascii="Arial" w:eastAsia="맑은 고딕" w:hAnsi="Arial" w:cs="Arial" w:hint="eastAsia"/>
          <w:b/>
          <w:bCs/>
          <w:color w:val="000000"/>
          <w:sz w:val="26"/>
          <w:szCs w:val="26"/>
          <w:kern w:val="2"/>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1. Award Information</w:t>
      </w:r>
    </w:p>
    <w:p>
      <w:pPr>
        <w:adjustRightInd/>
        <w:wordWrap/>
        <w:jc w:val="left"/>
        <w:spacing w:after="0" w:line="240" w:lineRule="auto"/>
        <w:rPr>
          <w:rFonts w:ascii="Arial-BoldMT" w:hAnsi="Arial-BoldMT" w:cs="Arial-BoldMT"/>
          <w:b/>
          <w:bCs/>
          <w:color w:val="000000"/>
          <w:sz w:val="22"/>
          <w:szCs w:val="15"/>
          <w:kern w:val="0"/>
        </w:rPr>
      </w:pPr>
      <w:r>
        <w:rPr>
          <w:noProof/>
        </w:rPr>
        <mc:AlternateContent>
          <mc:Choice Requires="wps">
            <w:drawing>
              <wp:anchor distT="0" distB="0" distL="114300" distR="114300" behindDoc="0" locked="0" layoutInCell="1" simplePos="0" relativeHeight="251671552" allowOverlap="1" hidden="0">
                <wp:simplePos x="0" y="0"/>
                <wp:positionH relativeFrom="column">
                  <wp:posOffset>0</wp:posOffset>
                </wp:positionH>
                <wp:positionV relativeFrom="paragraph">
                  <wp:posOffset>0</wp:posOffset>
                </wp:positionV>
                <wp:extent cx="5895975" cy="0"/>
                <wp:effectExtent l="49530" t="26529" r="49530" b="72530"/>
                <wp:wrapNone/>
                <wp:docPr id="1030" name="shape1030"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71552" o:allowincell="t" filled="f" strokecolor="#0">
                <v:stroke joinstyle="round"/>
              </v:line>
            </w:pict>
          </mc:Fallback>
        </mc:AlternateContent>
      </w:r>
    </w:p>
    <w:p>
      <w:pPr>
        <w:adjustRightInd/>
        <w:pStyle w:val="a4"/>
        <w:ind w:leftChars="0"/>
        <w:wordWrap/>
        <w:jc w:val="left"/>
        <w:numPr>
          <w:ilvl w:val="0"/>
          <w:numId w:val="1"/>
        </w:numPr>
        <w:spacing w:after="0" w:line="276" w:lineRule="auto"/>
        <w:rPr>
          <w:rFonts w:ascii="Arial-BoldMT" w:hAnsi="Arial-BoldMT" w:cs="Arial-BoldMT"/>
          <w:bCs/>
          <w:szCs w:val="15"/>
          <w:kern w:val="0"/>
        </w:rPr>
      </w:pPr>
      <w:r>
        <w:rPr>
          <w:rFonts w:ascii="Arial" w:hAnsi="Arial" w:cs="Arial"/>
          <w:bCs/>
          <w:szCs w:val="20"/>
        </w:rPr>
        <w:t xml:space="preserve">Period: Within 57 months </w:t>
      </w:r>
      <w:r>
        <w:rPr>
          <w:rFonts w:ascii="Arial" w:hAnsi="Arial" w:cs="Arial"/>
          <w:bCs/>
          <w:sz w:val="18"/>
          <w:szCs w:val="20"/>
        </w:rPr>
        <w:t>(Development period of Year 1: 9 months, Year 2 to 5: 12 months each)</w:t>
      </w:r>
    </w:p>
    <w:p>
      <w:pPr>
        <w:adjustRightInd/>
        <w:pStyle w:val="a3"/>
        <w:wordWrap/>
        <w:jc w:val="left"/>
        <w:numPr>
          <w:ilvl w:val="0"/>
          <w:numId w:val="1"/>
        </w:numPr>
        <w:spacing w:line="276" w:lineRule="auto"/>
        <w:rPr>
          <w:rFonts w:ascii="Arial-BoldMT" w:hAnsi="Arial-BoldMT" w:cs="Arial-BoldMT"/>
          <w:bCs/>
          <w:strike w:val="off"/>
          <w:sz w:val="18"/>
          <w:szCs w:val="15"/>
          <w:kern w:val="0"/>
        </w:rPr>
      </w:pPr>
      <w:r>
        <w:rPr>
          <w:rFonts w:ascii="Arial" w:eastAsiaTheme="minorEastAsia" w:hAnsi="Arial" w:cs="Arial"/>
          <w:bCs/>
          <w:strike w:val="off"/>
          <w:color w:val="auto"/>
          <w:szCs w:val="20"/>
        </w:rPr>
        <w:t xml:space="preserve">Government contribution: Within KRW </w:t>
      </w:r>
      <w:r>
        <w:rPr>
          <w:rFonts w:ascii="Arial" w:eastAsiaTheme="minorEastAsia" w:hAnsi="Arial" w:cs="Arial"/>
          <w:bCs/>
          <w:strike w:val="off"/>
          <w:color w:val="auto"/>
          <w:szCs w:val="20"/>
        </w:rPr>
        <w:t>950</w:t>
      </w:r>
      <w:r>
        <w:rPr>
          <w:rFonts w:ascii="Arial" w:eastAsiaTheme="minorEastAsia" w:hAnsi="Arial" w:cs="Arial"/>
          <w:bCs/>
          <w:strike w:val="off"/>
          <w:color w:val="auto"/>
          <w:szCs w:val="20"/>
        </w:rPr>
        <w:t xml:space="preserve"> </w:t>
      </w:r>
      <w:r>
        <w:rPr>
          <w:rFonts w:ascii="Arial" w:eastAsiaTheme="minorEastAsia" w:hAnsi="Arial" w:cs="Arial"/>
          <w:bCs/>
          <w:strike w:val="off"/>
          <w:color w:val="auto"/>
          <w:szCs w:val="20"/>
        </w:rPr>
        <w:t>m</w:t>
      </w:r>
      <w:r>
        <w:rPr>
          <w:rFonts w:ascii="Arial" w:eastAsiaTheme="minorEastAsia" w:hAnsi="Arial" w:cs="Arial"/>
          <w:bCs/>
          <w:strike w:val="off"/>
          <w:color w:val="auto"/>
          <w:szCs w:val="20"/>
        </w:rPr>
        <w:t>illion in 202</w:t>
      </w:r>
      <w:r>
        <w:rPr>
          <w:rFonts w:ascii="Arial" w:eastAsiaTheme="minorEastAsia" w:hAnsi="Arial" w:cs="Arial"/>
          <w:bCs/>
          <w:strike w:val="off"/>
          <w:color w:val="auto"/>
          <w:szCs w:val="20"/>
        </w:rPr>
        <w:t>5</w:t>
      </w:r>
      <w:r>
        <w:rPr>
          <w:rFonts w:ascii="Arial" w:eastAsiaTheme="minorEastAsia" w:hAnsi="Arial" w:cs="Arial"/>
          <w:bCs/>
          <w:strike w:val="off"/>
          <w:color w:val="auto"/>
          <w:szCs w:val="20"/>
        </w:rPr>
        <w:t xml:space="preserve"> </w:t>
      </w:r>
      <w:r>
        <w:rPr>
          <w:rFonts w:ascii="Arial" w:eastAsiaTheme="minorEastAsia" w:hAnsi="Arial" w:cs="Arial"/>
          <w:bCs/>
          <w:strike w:val="off"/>
          <w:color w:val="auto"/>
          <w:sz w:val="16"/>
          <w:szCs w:val="20"/>
        </w:rPr>
        <w:t xml:space="preserve">(within total government contribution of KRW </w:t>
      </w:r>
      <w:r>
        <w:rPr>
          <w:rFonts w:ascii="Arial" w:eastAsiaTheme="minorEastAsia" w:hAnsi="Arial" w:cs="Arial"/>
          <w:bCs/>
          <w:strike w:val="off"/>
          <w:color w:val="auto"/>
          <w:sz w:val="16"/>
          <w:szCs w:val="20"/>
        </w:rPr>
        <w:t>6</w:t>
      </w:r>
      <w:r>
        <w:rPr>
          <w:rFonts w:ascii="Arial" w:eastAsiaTheme="minorEastAsia" w:hAnsi="Arial" w:cs="Arial"/>
          <w:bCs/>
          <w:strike w:val="off"/>
          <w:color w:val="auto"/>
          <w:sz w:val="16"/>
          <w:szCs w:val="20"/>
        </w:rPr>
        <w:t xml:space="preserve"> billion) </w:t>
      </w:r>
    </w:p>
    <w:p>
      <w:pPr>
        <w:adjustRightInd/>
        <w:pStyle w:val="a3"/>
        <w:wordWrap/>
        <w:jc w:val="left"/>
        <w:numPr>
          <w:ilvl w:val="0"/>
          <w:numId w:val="1"/>
        </w:numPr>
        <w:spacing w:line="276" w:lineRule="auto"/>
        <w:rPr>
          <w:rFonts w:ascii="Arial-BoldMT" w:hAnsi="Arial-BoldMT" w:cs="Arial-BoldMT"/>
          <w:bCs/>
          <w:strike w:val="off"/>
          <w:szCs w:val="15"/>
          <w:kern w:val="0"/>
        </w:rPr>
      </w:pPr>
      <w:r>
        <w:rPr>
          <w:rFonts w:ascii="Arial" w:hAnsi="Arial" w:cs="Arial"/>
          <w:bCs/>
          <w:strike w:val="off"/>
          <w:color w:val="auto"/>
          <w:szCs w:val="20"/>
        </w:rPr>
        <w:t xml:space="preserve">Managing Institutes: </w:t>
      </w:r>
      <w:r>
        <w:rPr>
          <w:rFonts w:ascii="Arial" w:hAnsi="Arial" w:cs="Arial"/>
          <w:bCs/>
          <w:strike w:val="off"/>
          <w:color w:val="auto"/>
          <w:szCs w:val="20"/>
        </w:rPr>
        <w:t>Small and Medium-Sized Enterprises (SMEs) or Mid-Sized Companies</w:t>
      </w: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 xml:space="preserve">2. </w:t>
      </w:r>
      <w:r>
        <w:rPr>
          <w:rFonts w:ascii="Arial-BoldMT" w:hAnsi="Arial-BoldMT" w:cs="Arial-BoldMT" w:hint="eastAsia"/>
          <w:b/>
          <w:bCs/>
          <w:color w:val="000000"/>
          <w:sz w:val="22"/>
          <w:szCs w:val="15"/>
          <w:kern w:val="0"/>
        </w:rPr>
        <w:t>Concept/</w:t>
      </w:r>
      <w:r>
        <w:rPr>
          <w:rFonts w:ascii="Arial-BoldMT" w:hAnsi="Arial-BoldMT" w:cs="Arial-BoldMT"/>
          <w:b/>
          <w:bCs/>
          <w:color w:val="000000"/>
          <w:sz w:val="22"/>
          <w:szCs w:val="15"/>
          <w:kern w:val="0"/>
        </w:rPr>
        <w:t>Objective</w:t>
      </w:r>
    </w:p>
    <w:p>
      <w:pPr>
        <w:adjustRightInd/>
        <w:wordWrap/>
        <w:jc w:val="left"/>
        <w:spacing w:after="0" w:line="240" w:lineRule="auto"/>
        <w:rPr>
          <w:rFonts w:ascii="Arial-BoldMT" w:hAnsi="Arial-BoldMT" w:cs="Arial-BoldMT"/>
          <w:b/>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72576" allowOverlap="1" hidden="0">
                <wp:simplePos x="0" y="0"/>
                <wp:positionH relativeFrom="column">
                  <wp:posOffset>0</wp:posOffset>
                </wp:positionH>
                <wp:positionV relativeFrom="paragraph">
                  <wp:posOffset>-635</wp:posOffset>
                </wp:positionV>
                <wp:extent cx="5895975" cy="0"/>
                <wp:effectExtent l="49530" t="26529" r="49530" b="72530"/>
                <wp:wrapNone/>
                <wp:docPr id="1031" name="shape1031"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2576" o:allowincell="t" filled="f" strokecolor="#0">
                <v:stroke joinstyle="round"/>
              </v:line>
            </w:pict>
          </mc:Fallback>
        </mc:AlternateContent>
      </w: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Concept:</w:t>
      </w:r>
    </w:p>
    <w:p>
      <w:pPr>
        <w:pStyle w:val="a3"/>
        <w:jc w:val="left"/>
        <w:pBdr>
          <w:bottom w:val="none" w:sz="2" w:space="0" w:color="000000"/>
        </w:pBdr>
        <w:numPr>
          <w:ilvl w:val="0"/>
          <w:numId w:val="2"/>
        </w:numPr>
        <w:rPr>
          <w:rFonts w:ascii="Arial" w:hAnsi="Arial" w:cs="Arial"/>
          <w:strike w:val="off"/>
          <w:szCs w:val="20"/>
        </w:rPr>
      </w:pPr>
      <w:r>
        <w:rPr>
          <w:rFonts w:ascii="Arial" w:hAnsi="Arial" w:cs="Arial"/>
          <w:strike w:val="off"/>
          <w:szCs w:val="20"/>
        </w:rPr>
        <w:t>Apply Quality by Design (</w:t>
      </w:r>
      <w:r>
        <w:rPr>
          <w:rFonts w:ascii="Arial" w:hAnsi="Arial" w:cs="Arial"/>
          <w:strike w:val="off"/>
          <w:szCs w:val="20"/>
        </w:rPr>
        <w:t>QbD</w:t>
      </w:r>
      <w:r>
        <w:rPr>
          <w:rFonts w:ascii="Arial" w:hAnsi="Arial" w:cs="Arial"/>
          <w:strike w:val="off"/>
          <w:szCs w:val="20"/>
        </w:rPr>
        <w:t xml:space="preserve">), Process Analytical Technology (PAT), and AI-based manufacturing process technologies to acquire IND data for global clinical trials of high-quality multi-target (bi-specific) </w:t>
      </w:r>
      <w:r>
        <w:rPr>
          <w:rFonts w:ascii="Arial" w:hAnsi="Arial" w:cs="Arial"/>
          <w:strike w:val="off"/>
          <w:szCs w:val="20"/>
        </w:rPr>
        <w:t>biobetters</w:t>
      </w:r>
      <w:r>
        <w:rPr>
          <w:rFonts w:ascii="Arial" w:hAnsi="Arial" w:cs="Arial"/>
          <w:strike w:val="off"/>
          <w:szCs w:val="20"/>
        </w:rPr>
        <w:t>.</w:t>
      </w:r>
    </w:p>
    <w:p>
      <w:pPr>
        <w:adjustRightInd/>
        <w:ind w:leftChars="0" w:left="400"/>
        <w:wordWrap/>
        <w:jc w:val="left"/>
        <w:spacing w:after="0" w:line="276" w:lineRule="auto"/>
        <w:rPr>
          <w:rFonts w:ascii="Arial" w:hAnsi="Arial" w:cs="Arial"/>
          <w:color w:val="000000"/>
          <w:szCs w:val="20"/>
        </w:rPr>
      </w:pPr>
    </w:p>
    <w:p>
      <w:pPr>
        <w:adjustRightInd/>
        <w:wordWrap/>
        <w:jc w:val="left"/>
        <w:spacing w:after="0" w:line="240" w:lineRule="auto"/>
        <w:rPr>
          <w:rFonts w:ascii="Arial-BoldMT" w:hAnsi="Arial-BoldMT" w:cs="Arial-BoldMT"/>
          <w:b/>
          <w:bCs/>
          <w:color w:val="000000"/>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Core Objective</w:t>
      </w:r>
      <w:r>
        <w:rPr>
          <w:rFonts w:ascii="Arial-BoldMT" w:hAnsi="Arial-BoldMT" w:cs="Arial-BoldMT"/>
          <w:b/>
          <w:bCs/>
          <w:color w:val="000000"/>
          <w:sz w:val="22"/>
          <w:szCs w:val="15"/>
          <w:kern w:val="0"/>
        </w:rPr>
        <w:t xml:space="preserve">: </w:t>
      </w:r>
    </w:p>
    <w:p>
      <w:pPr>
        <w:adjustRightInd/>
        <w:wordWrap/>
        <w:jc w:val="left"/>
        <w:spacing w:after="0" w:line="240" w:lineRule="auto"/>
        <w:rPr>
          <w:rFonts w:ascii="Arial-BoldMT" w:hAnsi="Arial-BoldMT" w:cs="Arial-BoldMT"/>
          <w:b/>
          <w:bCs/>
          <w:color w:val="000000"/>
          <w:sz w:val="22"/>
          <w:szCs w:val="15"/>
          <w:kern w:val="0"/>
        </w:rPr>
      </w:pPr>
    </w:p>
    <w:p>
      <w:pPr>
        <w:pStyle w:val="a3"/>
        <w:jc w:val="left"/>
        <w:pBdr>
          <w:bottom w:val="none" w:sz="2" w:space="0" w:color="000000"/>
        </w:pBdr>
        <w:numPr>
          <w:ilvl w:val="0"/>
          <w:numId w:val="2"/>
        </w:numPr>
        <w:rPr>
          <w:rFonts w:ascii="Arial" w:hAnsi="Arial" w:cs="Arial"/>
          <w:strike w:val="off"/>
          <w:szCs w:val="20"/>
        </w:rPr>
      </w:pPr>
      <w:r>
        <w:rPr>
          <w:rFonts w:ascii="Arial" w:hAnsi="Arial" w:cs="Arial"/>
          <w:strike w:val="off"/>
          <w:szCs w:val="20"/>
        </w:rPr>
        <w:t xml:space="preserve">Achieve world-class technologies for the multi-target </w:t>
      </w:r>
      <w:r>
        <w:rPr>
          <w:rFonts w:ascii="Arial" w:hAnsi="Arial" w:cs="Arial"/>
          <w:strike w:val="off"/>
          <w:szCs w:val="20"/>
        </w:rPr>
        <w:t>biobetters</w:t>
      </w:r>
      <w:r>
        <w:rPr>
          <w:rFonts w:ascii="Arial" w:hAnsi="Arial" w:cs="Arial"/>
          <w:strike w:val="off"/>
          <w:szCs w:val="20"/>
        </w:rPr>
        <w:t>.</w:t>
      </w:r>
    </w:p>
    <w:p>
      <w:pPr>
        <w:adjustRightInd/>
        <w:wordWrap/>
        <w:jc w:val="left"/>
        <w:spacing w:after="0" w:line="240" w:lineRule="auto"/>
        <w:rPr>
          <w:rFonts w:ascii="Arial-BoldMT" w:hAnsi="Arial-BoldMT" w:cs="Arial-BoldMT"/>
          <w:b/>
          <w:bCs/>
          <w:color w:val="000000"/>
          <w:szCs w:val="15"/>
          <w:kern w:val="0"/>
        </w:rPr>
      </w:pPr>
    </w:p>
    <w:p>
      <w:pPr>
        <w:adjustRightInd/>
        <w:wordWrap/>
        <w:jc w:val="left"/>
        <w:spacing w:after="0" w:line="360" w:lineRule="auto"/>
        <w:rPr>
          <w:rFonts w:ascii="Arial-BoldMT" w:hAnsi="Arial-BoldMT" w:cs="Arial-BoldMT"/>
          <w:b/>
          <w:bCs/>
          <w:color w:val="000000"/>
          <w:sz w:val="22"/>
          <w:szCs w:val="15"/>
          <w:kern w:val="0"/>
        </w:rPr>
      </w:pPr>
      <w:r>
        <w:rPr>
          <w:rFonts w:ascii="Arial-BoldMT" w:hAnsi="Arial-BoldMT" w:cs="Arial-BoldMT"/>
          <w:b/>
          <w:bCs/>
          <w:color w:val="000000"/>
          <w:sz w:val="22"/>
          <w:szCs w:val="15"/>
          <w:kern w:val="0"/>
        </w:rPr>
        <w:t>Details of development:</w:t>
      </w:r>
    </w:p>
    <w:p>
      <w:pPr>
        <w:adjustRightInd/>
        <w:wordWrap/>
        <w:jc w:val="left"/>
        <w:spacing w:after="0" w:line="240" w:lineRule="auto"/>
        <w:rPr>
          <w:rFonts w:ascii="Arial-BoldMT" w:hAnsi="Arial-BoldMT" w:cs="Arial-BoldMT"/>
          <w:b/>
          <w:bCs/>
          <w:color w:val="000000"/>
          <w:sz w:val="22"/>
          <w:szCs w:val="15"/>
          <w:kern w:val="0"/>
        </w:rPr>
      </w:pPr>
    </w:p>
    <w:p>
      <w:pPr>
        <w:pStyle w:val="a3"/>
        <w:jc w:val="left"/>
        <w:numPr>
          <w:ilvl w:val="0"/>
          <w:numId w:val="6"/>
        </w:numPr>
        <w:spacing w:line="276" w:lineRule="auto"/>
        <w:rPr>
          <w:rFonts w:ascii="Arial" w:hAnsi="Arial" w:cs="Arial"/>
          <w:strike w:val="off"/>
          <w:szCs w:val="20"/>
        </w:rPr>
      </w:pPr>
      <w:r>
        <w:rPr>
          <w:rFonts w:ascii="Arial" w:hAnsi="Arial" w:cs="Arial"/>
          <w:strike w:val="off"/>
          <w:szCs w:val="20"/>
        </w:rPr>
        <w:t>Development of a High-Performance Multi-Target (Bi-Specific) Antibody Drug Development Platform</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Develop core quality and efficacy prediction technologies based on the sequences and structures of multi-target (bi-specific) antibody drug candidates.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Establish a high-quality database for process factors that determine product quality.</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Develop quality prediction and control technologies through AI-based process analysis.</w:t>
      </w:r>
    </w:p>
    <w:p>
      <w:pPr>
        <w:pStyle w:val="a3"/>
        <w:jc w:val="left"/>
        <w:numPr>
          <w:ilvl w:val="0"/>
          <w:numId w:val="6"/>
        </w:numPr>
        <w:spacing w:line="276" w:lineRule="auto"/>
        <w:rPr>
          <w:rFonts w:ascii="Arial" w:hAnsi="Arial" w:cs="Arial"/>
          <w:strike w:val="off"/>
          <w:szCs w:val="20"/>
        </w:rPr>
      </w:pPr>
      <w:r>
        <w:rPr>
          <w:rFonts w:ascii="Arial" w:hAnsi="Arial" w:cs="Arial"/>
          <w:strike w:val="off"/>
          <w:szCs w:val="20"/>
        </w:rPr>
        <w:t>Development of Manufacturing Process Technologies for High-Performance Multi-Target (Bi-Specific) Antibody Drugs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Develop high-productivity, high-quality antibody drug-producing cell lines.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Optimize cell culture media and processes through multi-cell bioreactor systems and biomolecular reaction analysis.</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 xml:space="preserve">Develop large-scale manufacturing processes (culturing and purification) by applying real-time analysis technologies based on </w:t>
      </w:r>
      <w:r>
        <w:rPr>
          <w:rFonts w:ascii="Arial" w:hAnsi="Arial" w:cs="Arial"/>
          <w:color w:val="000000"/>
          <w:szCs w:val="20"/>
        </w:rPr>
        <w:t>QbD</w:t>
      </w:r>
      <w:r>
        <w:rPr>
          <w:rFonts w:ascii="Arial" w:hAnsi="Arial" w:cs="Arial"/>
          <w:color w:val="000000"/>
          <w:szCs w:val="20"/>
        </w:rPr>
        <w:t>.</w:t>
      </w:r>
    </w:p>
    <w:p>
      <w:pPr>
        <w:adjustRightInd/>
        <w:pStyle w:val="a4"/>
        <w:ind w:leftChars="0"/>
        <w:wordWrap/>
        <w:jc w:val="left"/>
        <w:numPr>
          <w:ilvl w:val="0"/>
          <w:numId w:val="3"/>
        </w:numPr>
        <w:spacing w:after="0" w:line="276" w:lineRule="auto"/>
        <w:rPr>
          <w:rFonts w:ascii="Arial" w:hAnsi="Arial" w:cs="Arial"/>
          <w:color w:val="000000"/>
          <w:szCs w:val="20"/>
        </w:rPr>
      </w:pPr>
      <w:r>
        <w:rPr>
          <w:rFonts w:ascii="Arial" w:hAnsi="Arial" w:cs="Arial"/>
          <w:color w:val="000000"/>
          <w:szCs w:val="20"/>
        </w:rPr>
        <w:t>Develop optimal formulation technologies to ensure the stability of multi-target (bi-specific) antibody drugs.</w:t>
      </w:r>
    </w:p>
    <w:p>
      <w:pPr>
        <w:pStyle w:val="a3"/>
        <w:jc w:val="left"/>
        <w:numPr>
          <w:ilvl w:val="0"/>
          <w:numId w:val="6"/>
        </w:numPr>
        <w:spacing w:line="276" w:lineRule="auto"/>
        <w:rPr>
          <w:rFonts w:ascii="Arial" w:hAnsi="Arial" w:cs="Arial"/>
          <w:strike w:val="off"/>
          <w:szCs w:val="20"/>
        </w:rPr>
      </w:pPr>
      <w:r>
        <w:rPr>
          <w:rFonts w:ascii="Arial" w:hAnsi="Arial" w:cs="Arial"/>
          <w:strike w:val="off"/>
          <w:szCs w:val="20"/>
        </w:rPr>
        <w:t>Manufacturing Process Technology Development and Global IND Submission for High-Performance Multi-Target (Bi-Specific) Antibody Drugs</w:t>
      </w:r>
    </w:p>
    <w:p>
      <w:pPr>
        <w:adjustRightInd/>
        <w:pStyle w:val="a4"/>
        <w:ind w:leftChars="0"/>
        <w:wordWrap/>
        <w:jc w:val="left"/>
        <w:numPr>
          <w:ilvl w:val="0"/>
          <w:numId w:val="3"/>
        </w:numPr>
        <w:spacing w:after="0" w:line="276" w:lineRule="auto"/>
        <w:rPr>
          <w:rFonts w:ascii="Arial-BoldMT" w:hAnsi="Arial-BoldMT" w:cs="Arial-BoldMT"/>
          <w:b/>
          <w:bCs/>
          <w:color w:val="000000"/>
          <w:szCs w:val="15"/>
          <w:kern w:val="0"/>
        </w:rPr>
      </w:pPr>
      <w:r>
        <w:rPr>
          <w:rFonts w:ascii="Arial" w:hAnsi="Arial" w:cs="Arial" w:hint="eastAsia"/>
          <w:color w:val="000000"/>
          <w:szCs w:val="20"/>
        </w:rPr>
        <w:t>Obtain</w:t>
      </w:r>
      <w:r>
        <w:rPr>
          <w:rFonts w:ascii="Arial" w:hAnsi="Arial" w:cs="Arial"/>
          <w:color w:val="000000"/>
          <w:szCs w:val="20"/>
        </w:rPr>
        <w:t xml:space="preserve"> clinical samples through scaled-up production processes and GMP-compliant manufacturing technologies.</w:t>
      </w:r>
    </w:p>
    <w:p>
      <w:pPr>
        <w:adjustRightInd/>
        <w:pStyle w:val="a4"/>
        <w:ind w:leftChars="0"/>
        <w:wordWrap/>
        <w:jc w:val="left"/>
        <w:numPr>
          <w:ilvl w:val="0"/>
          <w:numId w:val="3"/>
        </w:numPr>
        <w:spacing w:after="0" w:line="276" w:lineRule="auto"/>
        <w:rPr>
          <w:lang w:eastAsia="ko-KR"/>
          <w:rFonts w:ascii="Arial" w:hAnsi="Arial" w:cs="Arial" w:hint="eastAsia"/>
          <w:szCs w:val="20"/>
          <w:rtl w:val="off"/>
        </w:rPr>
      </w:pPr>
      <w:r>
        <w:rPr>
          <w:rFonts w:ascii="Arial" w:hAnsi="Arial" w:cs="Arial"/>
          <w:szCs w:val="20"/>
        </w:rPr>
        <w:t xml:space="preserve">Conduct preclinical studies and submit global Phase 1 IND applications for multi-target (bi-specific) </w:t>
      </w:r>
      <w:r>
        <w:rPr>
          <w:rFonts w:ascii="Arial" w:hAnsi="Arial" w:cs="Arial"/>
          <w:szCs w:val="20"/>
        </w:rPr>
        <w:t>biobetters</w:t>
      </w:r>
      <w:r>
        <w:rPr>
          <w:rFonts w:ascii="Arial" w:hAnsi="Arial" w:cs="Arial"/>
          <w:szCs w:val="20"/>
        </w:rPr>
        <w:t>.</w:t>
      </w:r>
    </w:p>
    <w:p>
      <w:pPr>
        <w:adjustRightInd/>
        <w:pStyle w:val="a4"/>
        <w:ind w:leftChars="0" w:left="800"/>
        <w:wordWrap/>
        <w:jc w:val="left"/>
        <w:spacing w:after="0" w:line="276" w:lineRule="auto"/>
        <w:rPr>
          <w:rFonts w:ascii="Arial-BoldMT" w:hAnsi="Arial-BoldMT" w:cs="Arial-BoldMT"/>
          <w:b/>
          <w:bCs/>
          <w:color w:val="000000"/>
          <w:szCs w:val="15"/>
          <w:kern w:val="0"/>
        </w:rPr>
      </w:pPr>
    </w:p>
    <w:p>
      <w:pPr>
        <w:adjustRightInd/>
        <w:ind w:leftChars="0"/>
        <w:wordWrap/>
        <w:jc w:val="left"/>
        <w:spacing w:after="0" w:line="276" w:lineRule="auto"/>
        <w:rPr>
          <w:rFonts w:ascii="Arial-BoldMT" w:hAnsi="Arial-BoldMT" w:cs="Arial-BoldMT"/>
          <w:b w:val="0"/>
          <w:bCs w:val="0"/>
          <w:color w:val="000000"/>
          <w:szCs w:val="15"/>
          <w:kern w:val="0"/>
        </w:rPr>
      </w:pPr>
      <w:r>
        <w:rPr>
          <w:lang w:eastAsia="ko-KR"/>
          <w:rFonts w:ascii="Arial-BoldMT" w:hAnsi="Arial-BoldMT" w:cs="Arial-BoldMT"/>
          <w:b w:val="0"/>
          <w:bCs w:val="0"/>
          <w:color w:val="000000"/>
          <w:szCs w:val="15"/>
          <w:kern w:val="0"/>
          <w:rtl w:val="off"/>
        </w:rPr>
        <w:t xml:space="preserve">     ※  </w:t>
      </w:r>
      <w:r>
        <w:rPr>
          <w:rFonts w:ascii="Arial-BoldMT" w:hAnsi="Arial-BoldMT" w:cs="Arial-BoldMT"/>
          <w:b w:val="0"/>
          <w:bCs w:val="0"/>
          <w:color w:val="000000"/>
          <w:szCs w:val="15"/>
          <w:kern w:val="0"/>
        </w:rPr>
        <w:t>R&amp;D proposals must specify quantitative targets and commercialization levels for the following items:</w:t>
      </w:r>
    </w:p>
    <w:p>
      <w:pPr>
        <w:adjustRightInd/>
        <w:pStyle w:val="a4"/>
        <w:ind w:leftChars="0"/>
        <w:wordWrap/>
        <w:jc w:val="left"/>
        <w:numPr>
          <w:ilvl w:val="0"/>
          <w:numId w:val="5"/>
        </w:numPr>
        <w:spacing w:after="0" w:line="240" w:lineRule="auto"/>
        <w:rPr>
          <w:rFonts w:ascii="Arial" w:hAnsi="Arial" w:cs="Arial"/>
          <w:b/>
          <w:bCs/>
          <w:color w:val="000000"/>
          <w:szCs w:val="15"/>
          <w:kern w:val="0"/>
        </w:rPr>
      </w:pPr>
      <w:r>
        <w:rPr>
          <w:rFonts w:ascii="Arial" w:hAnsi="Arial" w:cs="Arial" w:hint="eastAsia"/>
          <w:b w:val="0"/>
          <w:bCs w:val="0"/>
          <w:color w:val="000000"/>
          <w:szCs w:val="15"/>
          <w:kern w:val="0"/>
        </w:rPr>
        <w:t xml:space="preserve">1) </w:t>
      </w:r>
      <w:r>
        <w:rPr>
          <w:rFonts w:ascii="Arial" w:hAnsi="Arial" w:cs="Arial"/>
          <w:b w:val="0"/>
          <w:bCs w:val="0"/>
          <w:color w:val="000000"/>
          <w:szCs w:val="15"/>
          <w:kern w:val="0"/>
        </w:rPr>
        <w:t xml:space="preserve">Number of process batch database </w:t>
      </w:r>
      <w:r>
        <w:rPr>
          <w:rFonts w:ascii="Arial" w:hAnsi="Arial" w:cs="Arial" w:hint="eastAsia"/>
          <w:b w:val="0"/>
          <w:bCs w:val="0"/>
          <w:color w:val="000000"/>
          <w:szCs w:val="15"/>
          <w:kern w:val="0"/>
        </w:rPr>
        <w:t xml:space="preserve">2) </w:t>
      </w:r>
      <w:r>
        <w:rPr>
          <w:rFonts w:ascii="Arial" w:hAnsi="Arial" w:cs="Arial"/>
          <w:b w:val="0"/>
          <w:bCs w:val="0"/>
          <w:color w:val="000000"/>
          <w:szCs w:val="15"/>
          <w:kern w:val="0"/>
        </w:rPr>
        <w:t xml:space="preserve">number of overseas patents </w:t>
      </w:r>
      <w:r>
        <w:rPr>
          <w:rFonts w:ascii="Arial" w:hAnsi="Arial" w:cs="Arial" w:hint="eastAsia"/>
          <w:b w:val="0"/>
          <w:bCs w:val="0"/>
          <w:color w:val="000000"/>
          <w:szCs w:val="15"/>
          <w:kern w:val="0"/>
        </w:rPr>
        <w:t xml:space="preserve">3) </w:t>
      </w:r>
      <w:r>
        <w:rPr>
          <w:rFonts w:ascii="Arial" w:hAnsi="Arial" w:cs="Arial"/>
          <w:b w:val="0"/>
          <w:bCs w:val="0"/>
          <w:color w:val="000000"/>
          <w:szCs w:val="15"/>
          <w:kern w:val="0"/>
        </w:rPr>
        <w:t xml:space="preserve">number of mass production technologies for </w:t>
      </w:r>
      <w:r>
        <w:rPr>
          <w:rFonts w:ascii="Arial" w:hAnsi="Arial" w:cs="Arial"/>
          <w:b w:val="0"/>
          <w:bCs w:val="0"/>
          <w:color w:val="000000"/>
          <w:szCs w:val="15"/>
          <w:kern w:val="0"/>
        </w:rPr>
        <w:t>biobetters</w:t>
      </w:r>
      <w:r>
        <w:rPr>
          <w:rFonts w:ascii="Arial" w:hAnsi="Arial" w:cs="Arial"/>
          <w:b w:val="0"/>
          <w:bCs w:val="0"/>
          <w:color w:val="000000"/>
          <w:szCs w:val="15"/>
          <w:kern w:val="0"/>
        </w:rPr>
        <w:t xml:space="preserve"> </w:t>
      </w:r>
      <w:r>
        <w:rPr>
          <w:rFonts w:ascii="Arial" w:hAnsi="Arial" w:cs="Arial" w:hint="eastAsia"/>
          <w:b w:val="0"/>
          <w:bCs w:val="0"/>
          <w:color w:val="000000"/>
          <w:szCs w:val="15"/>
          <w:kern w:val="0"/>
        </w:rPr>
        <w:t xml:space="preserve">4) </w:t>
      </w:r>
      <w:r>
        <w:rPr>
          <w:rFonts w:ascii="Arial" w:hAnsi="Arial" w:cs="Arial"/>
          <w:b w:val="0"/>
          <w:bCs w:val="0"/>
          <w:color w:val="000000"/>
          <w:szCs w:val="15"/>
          <w:kern w:val="0"/>
        </w:rPr>
        <w:t xml:space="preserve">number of months during which stability evaluations were performed </w:t>
      </w:r>
      <w:r>
        <w:rPr>
          <w:rFonts w:ascii="Arial" w:hAnsi="Arial" w:cs="Arial" w:hint="eastAsia"/>
          <w:b w:val="0"/>
          <w:bCs w:val="0"/>
          <w:color w:val="000000"/>
          <w:szCs w:val="15"/>
          <w:kern w:val="0"/>
        </w:rPr>
        <w:t xml:space="preserve">5) </w:t>
      </w:r>
      <w:r>
        <w:rPr>
          <w:rFonts w:ascii="Arial" w:hAnsi="Arial" w:cs="Arial"/>
          <w:b w:val="0"/>
          <w:bCs w:val="0"/>
          <w:color w:val="000000"/>
          <w:szCs w:val="15"/>
          <w:kern w:val="0"/>
        </w:rPr>
        <w:t xml:space="preserve">number of preclinical studies </w:t>
      </w:r>
      <w:r>
        <w:rPr>
          <w:rFonts w:ascii="Arial" w:hAnsi="Arial" w:cs="Arial" w:hint="eastAsia"/>
          <w:b w:val="0"/>
          <w:bCs w:val="0"/>
          <w:color w:val="000000"/>
          <w:szCs w:val="15"/>
          <w:kern w:val="0"/>
        </w:rPr>
        <w:t xml:space="preserve">6) </w:t>
      </w:r>
      <w:r>
        <w:rPr>
          <w:rFonts w:ascii="Arial" w:hAnsi="Arial" w:cs="Arial"/>
          <w:b w:val="0"/>
          <w:bCs w:val="0"/>
          <w:color w:val="000000"/>
          <w:szCs w:val="15"/>
          <w:kern w:val="0"/>
        </w:rPr>
        <w:t>number of Phase 1 IND applications submitted.</w:t>
      </w:r>
    </w:p>
    <w:p>
      <w:pPr>
        <w:adjustRightInd/>
        <w:pStyle w:val="a4"/>
        <w:ind w:leftChars="0"/>
        <w:wordWrap/>
        <w:jc w:val="left"/>
        <w:spacing w:after="0" w:line="240" w:lineRule="auto"/>
        <w:rPr>
          <w:rFonts w:ascii="Arial" w:hAnsi="Arial" w:cs="Arial"/>
          <w:b/>
          <w:bCs/>
          <w:color w:val="000000"/>
          <w:szCs w:val="15"/>
          <w:kern w:val="0"/>
        </w:rPr>
      </w:pP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b/>
          <w:bCs/>
          <w:color w:val="000000"/>
          <w:sz w:val="22"/>
          <w:szCs w:val="20"/>
        </w:rPr>
        <w:t xml:space="preserve">3. </w:t>
      </w:r>
      <w:r>
        <w:rPr>
          <w:rFonts w:ascii="Arial" w:hAnsi="Arial" w:cs="Arial" w:hint="eastAsia"/>
          <w:b/>
          <w:bCs/>
          <w:color w:val="000000"/>
          <w:sz w:val="22"/>
          <w:szCs w:val="20"/>
        </w:rPr>
        <w:t>Rationale for Government Support</w:t>
      </w:r>
    </w:p>
    <w:p>
      <w:pPr>
        <w:adjustRightInd/>
        <w:wordWrap/>
        <w:jc w:val="left"/>
        <w:spacing w:after="0" w:line="240" w:lineRule="auto"/>
        <w:rPr>
          <w:rFonts w:ascii="Arial-BoldMT" w:eastAsiaTheme="minorEastAsia" w:hAnsi="Arial-BoldMT" w:cs="Arial-BoldMT"/>
          <w:b/>
          <w:bCs/>
          <w:strike w:val="off"/>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78720" allowOverlap="1" hidden="0">
                <wp:simplePos x="0" y="0"/>
                <wp:positionH relativeFrom="column">
                  <wp:posOffset>0</wp:posOffset>
                </wp:positionH>
                <wp:positionV relativeFrom="paragraph">
                  <wp:posOffset>-635</wp:posOffset>
                </wp:positionV>
                <wp:extent cx="5895975" cy="0"/>
                <wp:effectExtent l="49530" t="26529" r="49530" b="72530"/>
                <wp:wrapNone/>
                <wp:docPr id="1032" name="shape1032"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78720" o:allowincell="t" filled="f" strokecolor="#0">
                <v:stroke joinstyle="round"/>
              </v:line>
            </w:pict>
          </mc:Fallback>
        </mc:AlternateContent>
      </w:r>
    </w:p>
    <w:p>
      <w:pPr>
        <w:adjustRightInd/>
        <w:wordWrap/>
        <w:jc w:val="left"/>
        <w:spacing w:after="0" w:line="240" w:lineRule="auto"/>
        <w:rPr>
          <w:lang w:eastAsia="ko-KR"/>
          <w:rFonts w:ascii="Arial" w:eastAsia="맑은 고딕" w:hAnsi="Arial" w:cs="Arial" w:hint="eastAsia"/>
          <w:szCs w:val="20"/>
          <w:rtl w:val="off"/>
        </w:rPr>
      </w:pPr>
      <w:r>
        <w:rPr>
          <w:lang w:eastAsia="ko-KR"/>
          <w:rFonts w:ascii="Arial" w:eastAsia="맑은 고딕" w:hAnsi="Arial" w:cs="Arial"/>
          <w:szCs w:val="20"/>
          <w:rtl w:val="off"/>
        </w:rPr>
        <w:t>T</w:t>
      </w:r>
      <w:r>
        <w:rPr>
          <w:rFonts w:ascii="Arial" w:eastAsia="맑은 고딕" w:hAnsi="Arial" w:cs="Arial"/>
          <w:szCs w:val="20"/>
        </w:rPr>
        <w:t xml:space="preserve">o establish manufacturing process platforms to improve the quality variability, low yields, and productivity of </w:t>
      </w:r>
      <w:r>
        <w:rPr>
          <w:rFonts w:ascii="Arial" w:eastAsia="맑은 고딕" w:hAnsi="Arial" w:cs="Arial"/>
          <w:szCs w:val="20"/>
        </w:rPr>
        <w:t>biobetters</w:t>
      </w:r>
      <w:r>
        <w:rPr>
          <w:rFonts w:ascii="Arial" w:eastAsia="맑은 고딕" w:hAnsi="Arial" w:cs="Arial"/>
          <w:szCs w:val="20"/>
        </w:rPr>
        <w:t xml:space="preserve"> such as multi-target (bi-specific) antibodies. </w:t>
      </w:r>
    </w:p>
    <w:p>
      <w:pPr>
        <w:adjustRightInd/>
        <w:wordWrap/>
        <w:jc w:val="left"/>
        <w:spacing w:after="0" w:line="240" w:lineRule="auto"/>
        <w:rPr>
          <w:rFonts w:ascii="Arial" w:eastAsia="맑은 고딕" w:hAnsi="Arial" w:cs="Arial"/>
          <w:szCs w:val="2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hint="eastAsia"/>
          <w:b/>
          <w:bCs/>
          <w:color w:val="000000"/>
          <w:sz w:val="22"/>
          <w:szCs w:val="20"/>
        </w:rPr>
        <w:t>4</w:t>
      </w:r>
      <w:r>
        <w:rPr>
          <w:rFonts w:ascii="Arial" w:hAnsi="Arial" w:cs="Arial"/>
          <w:b/>
          <w:bCs/>
          <w:color w:val="000000"/>
          <w:sz w:val="22"/>
          <w:szCs w:val="20"/>
        </w:rPr>
        <w:t xml:space="preserve">. </w:t>
      </w:r>
      <w:r>
        <w:rPr>
          <w:rFonts w:ascii="Arial" w:hAnsi="Arial" w:cs="Arial" w:hint="eastAsia"/>
          <w:b/>
          <w:bCs/>
          <w:color w:val="000000"/>
          <w:sz w:val="22"/>
          <w:szCs w:val="20"/>
        </w:rPr>
        <w:t>Field of Application</w:t>
      </w:r>
    </w:p>
    <w:p>
      <w:pPr>
        <w:adjustRightInd/>
        <w:wordWrap/>
        <w:jc w:val="left"/>
        <w:spacing w:after="0" w:line="240" w:lineRule="auto"/>
        <w:rPr>
          <w:rFonts w:ascii="Arial-BoldMT" w:hAnsi="Arial-BoldMT" w:cs="Arial-BoldMT"/>
          <w:b/>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80768" allowOverlap="1" hidden="0">
                <wp:simplePos x="0" y="0"/>
                <wp:positionH relativeFrom="column">
                  <wp:posOffset>0</wp:posOffset>
                </wp:positionH>
                <wp:positionV relativeFrom="paragraph">
                  <wp:posOffset>-635</wp:posOffset>
                </wp:positionV>
                <wp:extent cx="5895975" cy="0"/>
                <wp:effectExtent l="49530" t="26529" r="49530" b="72530"/>
                <wp:wrapNone/>
                <wp:docPr id="1033" name="shape1033"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05pt;width:464.25pt;height:0pt;mso-position-horizontal-relative:column;mso-position-vertical-relative:line;v-text-anchor:top;mso-wrap-style:square;flip:y;z-index:251680768" o:allowincell="t" filled="f" strokecolor="#0">
                <v:stroke joinstyle="round"/>
              </v:line>
            </w:pict>
          </mc:Fallback>
        </mc:AlternateContent>
      </w:r>
    </w:p>
    <w:p>
      <w:pPr>
        <w:adjustRightInd/>
        <w:wordWrap/>
        <w:jc w:val="left"/>
        <w:spacing w:after="0" w:line="240" w:lineRule="auto"/>
        <w:rPr>
          <w:rFonts w:ascii="Arial" w:eastAsia="맑은 고딕" w:hAnsi="Arial" w:cs="Arial"/>
          <w:szCs w:val="20"/>
        </w:rPr>
      </w:pPr>
      <w:r>
        <w:rPr>
          <w:rFonts w:ascii="Arial" w:eastAsia="맑은 고딕" w:hAnsi="Arial" w:cs="Arial"/>
          <w:szCs w:val="20"/>
        </w:rPr>
        <w:t>Development and manufacturing of advanced biopharmaceuticals, including antibody therapeutics, multi-target (bi-specific) antibody therapeutics, and immune cell therapeutics.</w:t>
      </w:r>
    </w:p>
    <w:p>
      <w:pPr>
        <w:adjustRightInd/>
        <w:wordWrap/>
        <w:jc w:val="left"/>
        <w:spacing w:after="0" w:line="240" w:lineRule="auto"/>
        <w:rPr>
          <w:rFonts w:ascii="Arial" w:eastAsia="맑은 고딕" w:hAnsi="Arial" w:cs="Arial"/>
          <w:szCs w:val="20"/>
        </w:rPr>
      </w:pP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15"/>
          <w:szCs w:val="15"/>
          <w:kern w:val="0"/>
        </w:rPr>
      </w:pPr>
    </w:p>
    <w:p>
      <w:pPr>
        <w:adjustRightInd/>
        <w:wordWrap/>
        <w:jc w:val="left"/>
        <w:spacing w:after="0" w:line="240" w:lineRule="auto"/>
        <w:rPr>
          <w:rFonts w:ascii="Arial-BoldMT" w:hAnsi="Arial-BoldMT" w:cs="Arial-BoldMT"/>
          <w:b/>
          <w:bCs/>
          <w:color w:val="000000"/>
          <w:sz w:val="22"/>
          <w:szCs w:val="15"/>
          <w:kern w:val="0"/>
        </w:rPr>
      </w:pPr>
      <w:r>
        <w:rPr>
          <w:rFonts w:ascii="Arial" w:hAnsi="Arial" w:cs="Arial" w:hint="eastAsia"/>
          <w:b/>
          <w:bCs/>
          <w:color w:val="000000"/>
          <w:sz w:val="22"/>
          <w:szCs w:val="20"/>
        </w:rPr>
        <w:t>5</w:t>
      </w:r>
      <w:r>
        <w:rPr>
          <w:rFonts w:ascii="Arial" w:hAnsi="Arial" w:cs="Arial"/>
          <w:b/>
          <w:bCs/>
          <w:color w:val="000000"/>
          <w:sz w:val="22"/>
          <w:szCs w:val="20"/>
        </w:rPr>
        <w:t>. Agency Contacts</w:t>
      </w:r>
    </w:p>
    <w:p>
      <w:pPr>
        <w:adjustRightInd/>
        <w:wordWrap/>
        <w:jc w:val="left"/>
        <w:spacing w:after="0" w:line="240" w:lineRule="auto"/>
        <w:rPr>
          <w:rFonts w:ascii="Arial-BoldMT" w:hAnsi="Arial-BoldMT" w:cs="Arial-BoldMT"/>
          <w:bCs/>
          <w:color w:val="000000"/>
          <w:sz w:val="22"/>
          <w:szCs w:val="15"/>
          <w:kern w:val="0"/>
        </w:rPr>
      </w:pPr>
      <w:r>
        <w:rPr>
          <w:rFonts w:ascii="Verdana-Bold" w:hAnsi="Verdana-Bold" w:cs="Verdana-Bold"/>
          <w:noProof/>
          <w:color w:val="977000"/>
          <w:szCs w:val="20"/>
        </w:rPr>
        <mc:AlternateContent>
          <mc:Choice Requires="wps">
            <w:drawing>
              <wp:anchor distT="0" distB="0" distL="114300" distR="114300" behindDoc="0" locked="0" layoutInCell="1" simplePos="0" relativeHeight="251679744" allowOverlap="1" hidden="0">
                <wp:simplePos x="0" y="0"/>
                <wp:positionH relativeFrom="column">
                  <wp:posOffset>0</wp:posOffset>
                </wp:positionH>
                <wp:positionV relativeFrom="paragraph">
                  <wp:posOffset>0</wp:posOffset>
                </wp:positionV>
                <wp:extent cx="5895975" cy="0"/>
                <wp:effectExtent l="49530" t="26529" r="49530" b="72530"/>
                <wp:wrapNone/>
                <wp:docPr id="1034" name="shape1034" hidden="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895975" cy="0"/>
                        </a:xfrm>
                        <a:prstGeom prst="line">
                          <a:avLst/>
                        </a:prstGeom>
                        <a:ln/>
                        <a:effectLst>
                          <a:outerShdw blurRad="40000" dist="23000" dir="5400000" algn="b" rotWithShape="0" kx="0" ky="0" sx="100000" sy="100000">
                            <a:srgbClr val="000000">
                              <a:alpha val="35000"/>
                            </a:srgbClr>
                          </a:outerShdw>
                        </a:effectLst>
                      </wps:spPr>
                      <wps:style>
                        <a:lnRef idx="3">
                          <a:schemeClr val="dk1"/>
                        </a:lnRef>
                        <a:fillRef idx="0">
                          <a:schemeClr val="dk1"/>
                        </a:fillRef>
                        <a:effectRef idx="0">
                          <a:schemeClr val="accent1"/>
                        </a:effectRef>
                        <a:fontRef idx="minor">
                          <a:schemeClr val="dk1"/>
                        </a:fontRef>
                      </wps:style>
                      <wps:bodyPr rot="0" vert="horz" wrap="square" lIns="91440" tIns="45720" rIns="91440" bIns="45720" anchor="t">
                        <a:noAutofit/>
                      </wps:bodyPr>
                    </wps:wsp>
                  </a:graphicData>
                </a:graphic>
              </wp:anchor>
            </w:drawing>
          </mc:Choice>
          <mc:Fallback>
            <w:pict>
              <v:line id="line 2" style="position:absolute;margin-left:0pt;margin-top:0pt;width:464.25pt;height:0pt;mso-position-horizontal-relative:column;mso-position-vertical-relative:line;v-text-anchor:top;mso-wrap-style:square;flip:y;z-index:251679744" o:allowincell="t" filled="f" strokecolor="#0">
                <v:stroke joinstyle="round"/>
              </v:line>
            </w:pict>
          </mc:Fallback>
        </mc:AlternateContent>
      </w:r>
    </w:p>
    <w:p>
      <w:pPr>
        <w:adjustRightInd/>
        <w:wordWrap/>
        <w:jc w:val="left"/>
        <w:spacing w:after="0" w:line="360" w:lineRule="auto"/>
        <w:rPr>
          <w:rFonts w:ascii="Arial-BoldMT" w:hAnsi="Arial-BoldMT" w:cs="Arial-BoldMT"/>
          <w:b/>
          <w:bCs/>
          <w:color w:val="000000"/>
          <w:sz w:val="22"/>
          <w:szCs w:val="15"/>
          <w:kern w:val="0"/>
        </w:rPr>
      </w:pPr>
      <w:r>
        <w:rPr>
          <w:rFonts w:ascii="Arial-BoldMT" w:hAnsi="Arial-BoldMT" w:cs="Arial-BoldMT" w:hint="eastAsia"/>
          <w:b/>
          <w:bCs/>
          <w:color w:val="000000"/>
          <w:sz w:val="22"/>
          <w:szCs w:val="15"/>
          <w:kern w:val="0"/>
        </w:rPr>
        <w:t xml:space="preserve">For </w:t>
      </w:r>
      <w:r>
        <w:rPr>
          <w:rFonts w:ascii="Arial-BoldMT" w:hAnsi="Arial-BoldMT" w:cs="Arial-BoldMT"/>
          <w:b/>
          <w:bCs/>
          <w:color w:val="000000"/>
          <w:sz w:val="22"/>
          <w:szCs w:val="15"/>
          <w:kern w:val="0"/>
        </w:rPr>
        <w:t>q</w:t>
      </w:r>
      <w:r>
        <w:rPr>
          <w:rFonts w:ascii="Arial-BoldMT" w:hAnsi="Arial-BoldMT" w:cs="Arial-BoldMT" w:hint="eastAsia"/>
          <w:b/>
          <w:bCs/>
          <w:color w:val="000000"/>
          <w:sz w:val="22"/>
          <w:szCs w:val="15"/>
          <w:kern w:val="0"/>
        </w:rPr>
        <w:t xml:space="preserve">uestions relating to </w:t>
      </w:r>
      <w:r>
        <w:rPr>
          <w:rFonts w:ascii="Arial-BoldMT" w:hAnsi="Arial-BoldMT" w:cs="Arial-BoldMT"/>
          <w:b/>
          <w:bCs/>
          <w:color w:val="000000"/>
          <w:sz w:val="22"/>
          <w:szCs w:val="15"/>
          <w:kern w:val="0"/>
        </w:rPr>
        <w:t xml:space="preserve">request for proposal contact: </w:t>
      </w:r>
    </w:p>
    <w:p>
      <w:pPr>
        <w:pStyle w:val="a3"/>
        <w:jc w:val="left"/>
        <w:pBdr>
          <w:bottom w:val="none" w:sz="2" w:space="0" w:color="000000"/>
        </w:pBdr>
        <w:numPr>
          <w:ilvl w:val="0"/>
          <w:numId w:val="2"/>
        </w:numPr>
        <w:rPr>
          <w:lang w:eastAsia="ko-KR"/>
          <w:rFonts w:ascii="Arial" w:hAnsi="Arial" w:cs="Arial" w:hint="eastAsia"/>
          <w:strike w:val="off"/>
          <w:szCs w:val="20"/>
          <w:rtl w:val="off"/>
        </w:rPr>
      </w:pPr>
      <w:r>
        <w:rPr>
          <w:rFonts w:ascii="Arial" w:hAnsi="Arial" w:cs="Arial"/>
          <w:strike w:val="off"/>
          <w:szCs w:val="20"/>
        </w:rPr>
        <w:t>Bio PD (</w:t>
      </w:r>
      <w:r>
        <w:rPr>
          <w:rFonts w:ascii="Cambria Math" w:hAnsi="Cambria Math" w:cs="Cambria Math"/>
          <w:strike w:val="off"/>
          <w:szCs w:val="20"/>
        </w:rPr>
        <w:t>①</w:t>
      </w:r>
      <w:r>
        <w:rPr>
          <w:rFonts w:ascii="Arial" w:hAnsi="Arial" w:cs="Arial"/>
          <w:strike w:val="off"/>
          <w:szCs w:val="20"/>
        </w:rPr>
        <w:t xml:space="preserve">Customized Diagnostic and Therapeutic Products, </w:t>
      </w:r>
      <w:r>
        <w:rPr>
          <w:rFonts w:ascii="Cambria Math" w:hAnsi="Cambria Math" w:cs="Cambria Math"/>
          <w:strike w:val="off"/>
          <w:szCs w:val="20"/>
        </w:rPr>
        <w:t>②</w:t>
      </w:r>
      <w:r>
        <w:rPr>
          <w:rFonts w:ascii="Arial" w:hAnsi="Arial" w:cs="Arial"/>
          <w:strike w:val="off"/>
          <w:szCs w:val="20"/>
        </w:rPr>
        <w:t>Advanced Bio-Materials) TEL +82-53-718-8562 (hckim@keit.re.kr)</w:t>
      </w:r>
      <w:r>
        <w:rPr>
          <w:lang w:eastAsia="ko-KR"/>
          <w:rFonts w:ascii="Arial" w:hAnsi="Arial" w:cs="Arial"/>
          <w:strike w:val="off"/>
          <w:szCs w:val="20"/>
          <w:rtl w:val="off"/>
        </w:rPr>
        <w:t xml:space="preserve"> </w:t>
      </w:r>
    </w:p>
    <w:p>
      <w:pPr>
        <w:jc w:val="left"/>
        <w:pBdr>
          <w:bottom w:val="none" w:sz="2" w:space="0" w:color="000000"/>
        </w:pBdr>
        <w:rPr>
          <w:lang w:eastAsia="ko-KR"/>
          <w:rFonts w:ascii="Arial" w:hAnsi="Arial" w:cs="Arial" w:hint="eastAsia"/>
          <w:strike w:val="off"/>
          <w:szCs w:val="20"/>
          <w:rtl w:val="off"/>
        </w:rPr>
      </w:pPr>
    </w:p>
    <w:tbl>
      <w:tblPr>
        <w:tblStyle w:val="b0"/>
        <w:tblLook w:val="04A0" w:firstRow="1" w:lastRow="0" w:firstColumn="1" w:lastColumn="0" w:noHBand="0" w:noVBand="1"/>
        <w:tblLayout w:type="autofit"/>
      </w:tblPr>
      <w:tblGrid>
        <w:gridCol w:w="9026"/>
      </w:tblGrid>
      <w:tr>
        <w:tc>
          <w:tcPr>
            <w:tcW w:w="9026" w:type="dxa"/>
          </w:tcPr>
          <w:p>
            <w:pPr>
              <w:snapToGrid w:val="0"/>
              <w:spacing w:after="0" w:line="276" w:lineRule="auto"/>
              <w:textAlignment w:val="baseline"/>
              <w:rPr>
                <w:rFonts w:ascii="Arial" w:eastAsia="Arial" w:hAnsi="Arial" w:cs="Arial"/>
                <w:bCs/>
                <w:color w:val="000000"/>
                <w:sz w:val="18"/>
                <w:szCs w:val="18"/>
                <w:kern w:val="0"/>
                <w:u w:color="auto"/>
              </w:rPr>
            </w:pPr>
            <w:r>
              <w:rPr>
                <w:rFonts w:ascii="Arial" w:eastAsia="Arial" w:hAnsi="Arial" w:cs="Arial" w:hint="default"/>
                <w:i/>
                <w:sz w:val="18"/>
                <w:szCs w:val="18"/>
                <w:u w:color="auto"/>
              </w:rPr>
              <w:t>The English documents provided by the KEIT are meant to be used as supplementary resources to facilitate comprehension of research and development projects. It is essential to understand that these documents do not possess any legal or official authority and should be exclusively utilized for informational purposes.</w:t>
            </w:r>
          </w:p>
        </w:tc>
      </w:tr>
    </w:tbl>
    <w:p>
      <w:pPr>
        <w:jc w:val="left"/>
        <w:pBdr>
          <w:bottom w:val="none" w:sz="2" w:space="0" w:color="000000"/>
        </w:pBdr>
        <w:rPr>
          <w:rFonts w:ascii="Arial" w:hAnsi="Arial" w:cs="Arial"/>
          <w:strike w:val="off"/>
          <w:szCs w:val="20"/>
        </w:rPr>
      </w:pPr>
    </w:p>
    <w:sectPr>
      <w:pgSz w:w="11906" w:h="16838"/>
      <w:pgMar w:top="1701" w:right="1440" w:bottom="1440" w:left="1440" w:header="851" w:footer="992" w:gutter="0"/>
      <w:cols/>
      <w:docGrid w:linePitch="360"/>
      <w:footerReference w:type="default" r:id="rI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Arial"/>
    <w:charset w:val="00"/>
    <w:notTrueType w:val="false"/>
    <w:sig w:usb0="E0002EFF" w:usb1="C000785B" w:usb2="00000009" w:usb3="00000001" w:csb0="400001FF" w:csb1="FFFF0000"/>
  </w:font>
  <w:font w:name="Verdana-Bold">
    <w:panose1 w:val="00000000000000000000"/>
    <w:family w:val="swiss"/>
    <w:altName w:val="Arial"/>
    <w:charset w:val="00"/>
    <w:notTrueType w:val="false"/>
    <w:sig w:usb0="00000003" w:usb1="00000000" w:usb2="00000000" w:usb3="00000000" w:csb0="00000001" w:csb1="00000000"/>
  </w:font>
  <w:font w:name="Arial-BoldMT">
    <w:panose1 w:val="00000000000000000000"/>
    <w:family w:val="swiss"/>
    <w:altName w:val="Arial"/>
    <w:charset w:val="00"/>
    <w:notTrueType w:val="false"/>
    <w:sig w:usb0="00000003" w:usb1="00000000" w:usb2="00000000" w:usb3="00000000" w:csb0="00000001" w:csb1="00000000"/>
  </w:font>
  <w:font w:name="맑은 고딕">
    <w:panose1 w:val="020B0503020000020004"/>
    <w:family w:val="Malgun Gothic"/>
    <w:charset w:val="00"/>
    <w:notTrueType w:val="false"/>
    <w:sig w:usb0="9000002F" w:usb1="29D77CFB" w:usb2="00000012" w:usb3="00000001" w:csb0="00080001" w:csb1="00000001"/>
  </w:font>
  <w:font w:name="Cambria Math">
    <w:panose1 w:val="02040503050406030204"/>
    <w:family w:val="Cambria Math"/>
    <w:charset w:val="00"/>
    <w:notTrueType w:val="false"/>
    <w:sig w:usb0="E00006FF" w:usb1="420024FF" w:usb2="02000000" w:usb3="00000001" w:csb0="2000019F" w:csb1="00000001"/>
  </w:font>
  <w:font w:name="Wingdings">
    <w:panose1 w:val="05000000000000000000"/>
    <w:family w:val="Wingdings"/>
    <w:charset w:val="00"/>
    <w:notTrueType w:val="false"/>
    <w:sig w:usb0="00000001" w:usb1="00000001" w:usb2="00000001" w:usb3="00000001" w:csb0="80000000" w:csb1="000000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Bottom of Page)"/>
        <w:docPartUnique/>
      </w:docPartObj>
    </w:sdtPr>
    <w:sdtContent>
      <w:sdt>
        <w:sdtPr>
          <w:rPr>
            <w:rFonts w:hint="eastAsia"/>
          </w:rPr>
          <w:id w:val="-1"/>
          <w:docPartObj>
            <w:docPartGallery w:val="Page Numbers (Bottom of Page)"/>
            <w:docPartUnique/>
          </w:docPartObj>
        </w:sdtPr>
        <w:sdtEndPr>
          <w:rPr>
            <w:rFonts w:hint="default"/>
          </w:rPr>
        </w:sdtEndPr>
        <w:sdtContent>
          <w:p>
            <w:pPr>
              <w:pStyle w:val="a7"/>
              <w:jc w:val="center"/>
            </w:pPr>
            <w:r/>
            <w:r>
              <w:rPr>
                <w:rFonts w:hint="eastAsia"/>
              </w:rPr>
            </w:r>
            <w:r>
              <w:rPr>
                <w:rFonts w:hint="eastAsia"/>
              </w:rPr>
              <w:t xml:space="preserve">페이지 </w:t>
            </w:r>
            <w:r>
              <w:rPr>
                <w:b/>
              </w:rPr>
              <w:fldChar w:fldCharType="begin"/>
            </w:r>
            <w:r>
              <w:rPr>
                <w:rFonts w:hint="eastAsia"/>
                <w:b/>
              </w:rPr>
              <w:instrText>PAGE   \* MERGEFORMAT</w:instrText>
            </w:r>
            <w:r>
              <w:rPr>
                <w:b/>
              </w:rPr>
              <w:fldChar w:fldCharType="separate"/>
            </w:r>
            <w:r>
              <w:rPr>
                <w:b/>
                <w:noProof/>
              </w:rPr>
              <w:t>1</w:t>
            </w:r>
            <w:r>
              <w:rPr>
                <w:b/>
              </w:rPr>
              <w:fldChar w:fldCharType="end"/>
            </w:r>
            <w:r>
              <w:t>/</w:t>
            </w:r>
            <w:r>
              <w:rPr>
                <w:b/>
              </w:rPr>
              <w:fldChar w:fldCharType="begin"/>
            </w:r>
            <w:r>
              <w:rPr>
                <w:b/>
              </w:rPr>
              <w:instrText xml:space="preserve"> NUMPAGES   \* MERGEFORMAT </w:instrText>
            </w:r>
            <w:r>
              <w:rPr>
                <w:b/>
              </w:rPr>
              <w:fldChar w:fldCharType="separate"/>
            </w:r>
            <w:r>
              <w:rPr>
                <w:b/>
                <w:noProof/>
              </w:rPr>
              <w:t>1</w:t>
            </w:r>
            <w:r>
              <w:rPr>
                <w:b/>
              </w:rPr>
              <w:fldChar w:fldCharType="end"/>
            </w:r>
            <w:r>
              <w:rPr>
                <w:rFonts w:hint="eastAsia"/>
              </w:rPr>
            </w:r>
          </w:p>
        </w:sdtContent>
      </w:sdt>
      <w:p>
        <w:r/>
      </w:p>
    </w:sdtContent>
  </w:sdt>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27c6243c"/>
    <w:multiLevelType w:val="hybridMultilevel"/>
    <w:tmpl w:val="ffea7b36"/>
    <w:lvl w:ilvl="0" w:tplc="5b321f7c">
      <w:start w:val="1"/>
      <w:numFmt w:val="bullet"/>
      <w:lvlText w:val=""/>
      <w:lvlJc w:val="left"/>
      <w:pPr>
        <w:ind w:left="800" w:hanging="400"/>
      </w:pPr>
      <w:rPr>
        <w:rFonts w:ascii="Wingdings" w:hAnsi="Wingdings" w:hint="default"/>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1">
    <w:nsid w:val="d9a11da"/>
    <w:multiLevelType w:val="hybridMultilevel"/>
    <w:tmpl w:val="182a850e"/>
    <w:lvl w:ilvl="0" w:tplc="dc78a11c">
      <w:start w:val="1"/>
      <w:numFmt w:val="bullet"/>
      <w:lvlText w:val=""/>
      <w:lvlJc w:val="left"/>
      <w:pPr>
        <w:ind w:left="800" w:hanging="400"/>
      </w:pPr>
      <w:rPr>
        <w:rFonts w:ascii="Wingdings" w:hAnsi="Wingdings" w:hint="default"/>
        <w:sz w:val="14"/>
      </w:rPr>
    </w:lvl>
    <w:lvl w:ilvl="1"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2">
    <w:nsid w:val="72c83963"/>
    <w:multiLevelType w:val="hybridMultilevel"/>
    <w:tmpl w:val="2912f366"/>
    <w:lvl w:ilvl="0" w:tplc="409000b">
      <w:start w:val="1"/>
      <w:numFmt w:val="bullet"/>
      <w:lvlText w:val=""/>
      <w:lvlJc w:val="left"/>
      <w:pPr>
        <w:ind w:left="800" w:hanging="400"/>
      </w:pPr>
      <w:rPr>
        <w:rFonts w:ascii="Wingdings" w:hAnsi="Wingdings" w:hint="default"/>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3">
    <w:nsid w:val="4a36327e"/>
    <w:multiLevelType w:val="hybridMultilevel"/>
    <w:tmpl w:val="cd946384"/>
    <w:lvl w:ilvl="0" w:tplc="2a4ab62e">
      <w:start w:val="1"/>
      <w:numFmt w:val="decimalEnclosedCircle"/>
      <w:lvlText w:val="%1"/>
      <w:lvlJc w:val="left"/>
      <w:pPr>
        <w:ind w:left="800" w:hanging="400"/>
      </w:pPr>
      <w:rPr>
        <w:rFonts w:hint="default"/>
        <w:b/>
        <w:sz w:val="18"/>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4">
    <w:nsid w:val="ee92041"/>
    <w:multiLevelType w:val="hybridMultilevel"/>
    <w:tmpl w:val="98d83236"/>
    <w:lvl w:ilvl="0" w:tplc="b220f682">
      <w:start w:val="1"/>
      <w:numFmt w:val="bullet"/>
      <w:lvlText w:val=""/>
      <w:lvlJc w:val="left"/>
      <w:pPr>
        <w:ind w:left="800" w:hanging="400"/>
      </w:pPr>
      <w:rPr>
        <w:rFonts w:ascii="Wingdings" w:hAnsi="Wingdings" w:hint="default"/>
        <w:strike w:val="off"/>
        <w:sz w:val="14"/>
      </w:rPr>
    </w:lvl>
    <w:lvl w:ilvl="1" w:tentative="on" w:tplc="4090003">
      <w:start w:val="1"/>
      <w:numFmt w:val="bullet"/>
      <w:lvlText w:val=""/>
      <w:lvlJc w:val="left"/>
      <w:pPr>
        <w:ind w:left="1200" w:hanging="400"/>
      </w:pPr>
      <w:rPr>
        <w:rFonts w:ascii="Wingdings" w:hAnsi="Wingdings" w:hint="default"/>
      </w:rPr>
    </w:lvl>
    <w:lvl w:ilvl="2" w:tentative="on" w:tplc="4090005">
      <w:start w:val="1"/>
      <w:numFmt w:val="bullet"/>
      <w:lvlText w:val=""/>
      <w:lvlJc w:val="left"/>
      <w:pPr>
        <w:ind w:left="1600" w:hanging="400"/>
      </w:pPr>
      <w:rPr>
        <w:rFonts w:ascii="Wingdings" w:hAnsi="Wingdings" w:hint="default"/>
      </w:rPr>
    </w:lvl>
    <w:lvl w:ilvl="3" w:tentative="on" w:tplc="4090001">
      <w:start w:val="1"/>
      <w:numFmt w:val="bullet"/>
      <w:lvlText w:val=""/>
      <w:lvlJc w:val="left"/>
      <w:pPr>
        <w:ind w:left="2000" w:hanging="400"/>
      </w:pPr>
      <w:rPr>
        <w:rFonts w:ascii="Wingdings" w:hAnsi="Wingdings" w:hint="default"/>
      </w:rPr>
    </w:lvl>
    <w:lvl w:ilvl="4" w:tentative="on" w:tplc="4090003">
      <w:start w:val="1"/>
      <w:numFmt w:val="bullet"/>
      <w:lvlText w:val=""/>
      <w:lvlJc w:val="left"/>
      <w:pPr>
        <w:ind w:left="2400" w:hanging="400"/>
      </w:pPr>
      <w:rPr>
        <w:rFonts w:ascii="Wingdings" w:hAnsi="Wingdings" w:hint="default"/>
      </w:rPr>
    </w:lvl>
    <w:lvl w:ilvl="5" w:tentative="on" w:tplc="4090005">
      <w:start w:val="1"/>
      <w:numFmt w:val="bullet"/>
      <w:lvlText w:val=""/>
      <w:lvlJc w:val="left"/>
      <w:pPr>
        <w:ind w:left="2800" w:hanging="400"/>
      </w:pPr>
      <w:rPr>
        <w:rFonts w:ascii="Wingdings" w:hAnsi="Wingdings" w:hint="default"/>
      </w:rPr>
    </w:lvl>
    <w:lvl w:ilvl="6" w:tentative="on" w:tplc="4090001">
      <w:start w:val="1"/>
      <w:numFmt w:val="bullet"/>
      <w:lvlText w:val=""/>
      <w:lvlJc w:val="left"/>
      <w:pPr>
        <w:ind w:left="3200" w:hanging="400"/>
      </w:pPr>
      <w:rPr>
        <w:rFonts w:ascii="Wingdings" w:hAnsi="Wingdings" w:hint="default"/>
      </w:rPr>
    </w:lvl>
    <w:lvl w:ilvl="7" w:tentative="on" w:tplc="4090003">
      <w:start w:val="1"/>
      <w:numFmt w:val="bullet"/>
      <w:lvlText w:val=""/>
      <w:lvlJc w:val="left"/>
      <w:pPr>
        <w:ind w:left="3600" w:hanging="400"/>
      </w:pPr>
      <w:rPr>
        <w:rFonts w:ascii="Wingdings" w:hAnsi="Wingdings" w:hint="default"/>
      </w:rPr>
    </w:lvl>
    <w:lvl w:ilvl="8" w:tentative="on" w:tplc="4090005">
      <w:start w:val="1"/>
      <w:numFmt w:val="bullet"/>
      <w:lvlText w:val=""/>
      <w:lvlJc w:val="left"/>
      <w:pPr>
        <w:ind w:left="4000" w:hanging="400"/>
      </w:pPr>
      <w:rPr>
        <w:rFonts w:ascii="Wingdings" w:hAnsi="Wingdings" w:hint="default"/>
      </w:rPr>
    </w:lvl>
  </w:abstractNum>
  <w:abstractNum w:abstractNumId="5">
    <w:nsid w:val="338b2afc"/>
    <w:multiLevelType w:val="hybridMultilevel"/>
    <w:tmpl w:val="cd946384"/>
    <w:lvl w:ilvl="0" w:tplc="ffffffff">
      <w:start w:val="1"/>
      <w:numFmt w:val="decimalEnclosedCircle"/>
      <w:lvlText w:val="%1"/>
      <w:lvlJc w:val="left"/>
      <w:pPr>
        <w:ind w:left="800" w:hanging="400"/>
      </w:pPr>
      <w:rPr>
        <w:rFonts w:hint="default"/>
        <w:b/>
        <w:sz w:val="18"/>
      </w:rPr>
    </w:lvl>
    <w:lvl w:ilvl="1" w:tentative="on" w:tplc="ffffffff">
      <w:start w:val="1"/>
      <w:numFmt w:val="bullet"/>
      <w:lvlText w:val=""/>
      <w:lvlJc w:val="left"/>
      <w:pPr>
        <w:ind w:left="1200" w:hanging="400"/>
      </w:pPr>
      <w:rPr>
        <w:rFonts w:ascii="Wingdings" w:hAnsi="Wingdings" w:hint="default"/>
      </w:rPr>
    </w:lvl>
    <w:lvl w:ilvl="2" w:tentative="on" w:tplc="ffffffff">
      <w:start w:val="1"/>
      <w:numFmt w:val="bullet"/>
      <w:lvlText w:val=""/>
      <w:lvlJc w:val="left"/>
      <w:pPr>
        <w:ind w:left="1600" w:hanging="400"/>
      </w:pPr>
      <w:rPr>
        <w:rFonts w:ascii="Wingdings" w:hAnsi="Wingdings" w:hint="default"/>
      </w:rPr>
    </w:lvl>
    <w:lvl w:ilvl="3" w:tentative="on" w:tplc="ffffffff">
      <w:start w:val="1"/>
      <w:numFmt w:val="bullet"/>
      <w:lvlText w:val=""/>
      <w:lvlJc w:val="left"/>
      <w:pPr>
        <w:ind w:left="2000" w:hanging="400"/>
      </w:pPr>
      <w:rPr>
        <w:rFonts w:ascii="Wingdings" w:hAnsi="Wingdings" w:hint="default"/>
      </w:rPr>
    </w:lvl>
    <w:lvl w:ilvl="4" w:tentative="on" w:tplc="ffffffff">
      <w:start w:val="1"/>
      <w:numFmt w:val="bullet"/>
      <w:lvlText w:val=""/>
      <w:lvlJc w:val="left"/>
      <w:pPr>
        <w:ind w:left="2400" w:hanging="400"/>
      </w:pPr>
      <w:rPr>
        <w:rFonts w:ascii="Wingdings" w:hAnsi="Wingdings" w:hint="default"/>
      </w:rPr>
    </w:lvl>
    <w:lvl w:ilvl="5" w:tentative="on" w:tplc="ffffffff">
      <w:start w:val="1"/>
      <w:numFmt w:val="bullet"/>
      <w:lvlText w:val=""/>
      <w:lvlJc w:val="left"/>
      <w:pPr>
        <w:ind w:left="2800" w:hanging="400"/>
      </w:pPr>
      <w:rPr>
        <w:rFonts w:ascii="Wingdings" w:hAnsi="Wingdings" w:hint="default"/>
      </w:rPr>
    </w:lvl>
    <w:lvl w:ilvl="6" w:tentative="on" w:tplc="ffffffff">
      <w:start w:val="1"/>
      <w:numFmt w:val="bullet"/>
      <w:lvlText w:val=""/>
      <w:lvlJc w:val="left"/>
      <w:pPr>
        <w:ind w:left="3200" w:hanging="400"/>
      </w:pPr>
      <w:rPr>
        <w:rFonts w:ascii="Wingdings" w:hAnsi="Wingdings" w:hint="default"/>
      </w:rPr>
    </w:lvl>
    <w:lvl w:ilvl="7" w:tentative="on" w:tplc="ffffffff">
      <w:start w:val="1"/>
      <w:numFmt w:val="bullet"/>
      <w:lvlText w:val=""/>
      <w:lvlJc w:val="left"/>
      <w:pPr>
        <w:ind w:left="3600" w:hanging="400"/>
      </w:pPr>
      <w:rPr>
        <w:rFonts w:ascii="Wingdings" w:hAnsi="Wingdings" w:hint="default"/>
      </w:rPr>
    </w:lvl>
    <w:lvl w:ilvl="8" w:tentative="on" w:tplc="ffffffff">
      <w:start w:val="1"/>
      <w:numFmt w:val="bullet"/>
      <w:lvlText w:val=""/>
      <w:lvlJc w:val="left"/>
      <w:pPr>
        <w:ind w:left="4000" w:hanging="40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09" w:unhideWhenUsed="1"/>
    <w:lsdException w:name="toc 2" w:semiHidden="1" w:uiPriority="309" w:unhideWhenUsed="1"/>
    <w:lsdException w:name="toc 3" w:semiHidden="1" w:uiPriority="309" w:unhideWhenUsed="1"/>
    <w:lsdException w:name="toc 4" w:semiHidden="1" w:uiPriority="309" w:unhideWhenUsed="1"/>
    <w:lsdException w:name="toc 5" w:semiHidden="1" w:uiPriority="309" w:unhideWhenUsed="1"/>
    <w:lsdException w:name="toc 6" w:semiHidden="1" w:uiPriority="309" w:unhideWhenUsed="1"/>
    <w:lsdException w:name="toc 7" w:semiHidden="1" w:uiPriority="309" w:unhideWhenUsed="1"/>
    <w:lsdException w:name="toc 8" w:semiHidden="1" w:uiPriority="309" w:unhideWhenUsed="1"/>
    <w:lsdException w:name="toc 9" w:semiHidden="1" w:uiPriority="30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0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5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30" w:qFormat="1"/>
    <w:lsdException w:name="Emphasis" w:uiPriority="12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09"/>
    <w:lsdException w:name="Table Theme" w:semiHidden="1" w:unhideWhenUsed="1"/>
    <w:lsdException w:name="Placeholder Text" w:semiHidden="1"/>
    <w:lsdException w:name="No Spacing" w:uiPriority="1" w:qFormat="1"/>
    <w:lsdException w:name="Light Shading" w:uiPriority="822"/>
    <w:lsdException w:name="Light List" w:uiPriority="823"/>
    <w:lsdException w:name="Light Grid" w:uiPriority="824"/>
    <w:lsdException w:name="Medium Shading 1" w:uiPriority="825"/>
    <w:lsdException w:name="Medium Shading 2" w:uiPriority="1432"/>
    <w:lsdException w:name="Medium List 1" w:uiPriority="1433"/>
    <w:lsdException w:name="Medium List 2" w:uiPriority="1536"/>
    <w:lsdException w:name="Medium Grid 1" w:uiPriority="1537"/>
    <w:lsdException w:name="Medium Grid 2" w:uiPriority="1544"/>
    <w:lsdException w:name="Medium Grid 3" w:uiPriority="1545"/>
    <w:lsdException w:name="Dark List" w:uiPriority="1576"/>
    <w:lsdException w:name="Colorful Shading" w:uiPriority="1577"/>
    <w:lsdException w:name="Colorful List" w:uiPriority="1584"/>
    <w:lsdException w:name="Colorful Grid" w:uiPriority="1585"/>
    <w:lsdException w:name="Light Shading Accent 1" w:uiPriority="822"/>
    <w:lsdException w:name="Light List Accent 1" w:uiPriority="823"/>
    <w:lsdException w:name="Light Grid Accent 1" w:uiPriority="824"/>
    <w:lsdException w:name="Medium Shading 1 Accent 1" w:uiPriority="825"/>
    <w:lsdException w:name="Medium Shading 2 Accent 1" w:uiPriority="1432"/>
    <w:lsdException w:name="Medium List 1 Accent 1" w:uiPriority="1433"/>
    <w:lsdException w:name="Revision" w:semiHidden="1"/>
    <w:lsdException w:name="List Paragraph" w:uiPriority="304" w:qFormat="1"/>
    <w:lsdException w:name="Quote" w:uiPriority="257" w:qFormat="1"/>
    <w:lsdException w:name="Intense Quote" w:uiPriority="276" w:qFormat="1"/>
    <w:lsdException w:name="Medium List 2 Accent 1" w:uiPriority="1536"/>
    <w:lsdException w:name="Medium Grid 1 Accent 1" w:uiPriority="1537"/>
    <w:lsdException w:name="Medium Grid 2 Accent 1" w:uiPriority="1544"/>
    <w:lsdException w:name="Medium Grid 3 Accent 1" w:uiPriority="1545"/>
    <w:lsdException w:name="Dark List Accent 1" w:uiPriority="1576"/>
    <w:lsdException w:name="Colorful Shading Accent 1" w:uiPriority="1577"/>
    <w:lsdException w:name="Colorful List Accent 1" w:uiPriority="1584"/>
    <w:lsdException w:name="Colorful Grid Accent 1" w:uiPriority="1585"/>
    <w:lsdException w:name="Light Shading Accent 2" w:uiPriority="822"/>
    <w:lsdException w:name="Light List Accent 2" w:uiPriority="823"/>
    <w:lsdException w:name="Light Grid Accent 2" w:uiPriority="824"/>
    <w:lsdException w:name="Medium Shading 1 Accent 2" w:uiPriority="825"/>
    <w:lsdException w:name="Medium Shading 2 Accent 2" w:uiPriority="1432"/>
    <w:lsdException w:name="Medium List 1 Accent 2" w:uiPriority="1433"/>
    <w:lsdException w:name="Medium List 2 Accent 2" w:uiPriority="1536"/>
    <w:lsdException w:name="Medium Grid 1 Accent 2" w:uiPriority="1537"/>
    <w:lsdException w:name="Medium Grid 2 Accent 2" w:uiPriority="1544"/>
    <w:lsdException w:name="Medium Grid 3 Accent 2" w:uiPriority="1545"/>
    <w:lsdException w:name="Dark List Accent 2" w:uiPriority="1576"/>
    <w:lsdException w:name="Colorful Shading Accent 2" w:uiPriority="1577"/>
    <w:lsdException w:name="Colorful List Accent 2" w:uiPriority="1584"/>
    <w:lsdException w:name="Colorful Grid Accent 2" w:uiPriority="1585"/>
    <w:lsdException w:name="Light Shading Accent 3" w:uiPriority="822"/>
    <w:lsdException w:name="Light List Accent 3" w:uiPriority="823"/>
    <w:lsdException w:name="Light Grid Accent 3" w:uiPriority="824"/>
    <w:lsdException w:name="Medium Shading 1 Accent 3" w:uiPriority="825"/>
    <w:lsdException w:name="Medium Shading 2 Accent 3" w:uiPriority="1432"/>
    <w:lsdException w:name="Medium List 1 Accent 3" w:uiPriority="1433"/>
    <w:lsdException w:name="Medium List 2 Accent 3" w:uiPriority="1536"/>
    <w:lsdException w:name="Medium Grid 1 Accent 3" w:uiPriority="1537"/>
    <w:lsdException w:name="Medium Grid 2 Accent 3" w:uiPriority="1544"/>
    <w:lsdException w:name="Medium Grid 3 Accent 3" w:uiPriority="1545"/>
    <w:lsdException w:name="Dark List Accent 3" w:uiPriority="1576"/>
    <w:lsdException w:name="Colorful Shading Accent 3" w:uiPriority="1577"/>
    <w:lsdException w:name="Colorful List Accent 3" w:uiPriority="1584"/>
    <w:lsdException w:name="Colorful Grid Accent 3" w:uiPriority="1585"/>
    <w:lsdException w:name="Light Shading Accent 4" w:uiPriority="822"/>
    <w:lsdException w:name="Light List Accent 4" w:uiPriority="823"/>
    <w:lsdException w:name="Light Grid Accent 4" w:uiPriority="824"/>
    <w:lsdException w:name="Medium Shading 1 Accent 4" w:uiPriority="825"/>
    <w:lsdException w:name="Medium Shading 2 Accent 4" w:uiPriority="1432"/>
    <w:lsdException w:name="Medium List 1 Accent 4" w:uiPriority="1433"/>
    <w:lsdException w:name="Medium List 2 Accent 4" w:uiPriority="1536"/>
    <w:lsdException w:name="Medium Grid 1 Accent 4" w:uiPriority="1537"/>
    <w:lsdException w:name="Medium Grid 2 Accent 4" w:uiPriority="1544"/>
    <w:lsdException w:name="Medium Grid 3 Accent 4" w:uiPriority="1545"/>
    <w:lsdException w:name="Dark List Accent 4" w:uiPriority="1576"/>
    <w:lsdException w:name="Colorful Shading Accent 4" w:uiPriority="1577"/>
    <w:lsdException w:name="Colorful List Accent 4" w:uiPriority="1584"/>
    <w:lsdException w:name="Colorful Grid Accent 4" w:uiPriority="1585"/>
    <w:lsdException w:name="Light Shading Accent 5" w:uiPriority="822"/>
    <w:lsdException w:name="Light List Accent 5" w:uiPriority="823"/>
    <w:lsdException w:name="Light Grid Accent 5" w:uiPriority="824"/>
    <w:lsdException w:name="Medium Shading 1 Accent 5" w:uiPriority="825"/>
    <w:lsdException w:name="Medium Shading 2 Accent 5" w:uiPriority="1432"/>
    <w:lsdException w:name="Medium List 1 Accent 5" w:uiPriority="1433"/>
    <w:lsdException w:name="Medium List 2 Accent 5" w:uiPriority="1536"/>
    <w:lsdException w:name="Medium Grid 1 Accent 5" w:uiPriority="1537"/>
    <w:lsdException w:name="Medium Grid 2 Accent 5" w:uiPriority="1544"/>
    <w:lsdException w:name="Medium Grid 3 Accent 5" w:uiPriority="1545"/>
    <w:lsdException w:name="Dark List Accent 5" w:uiPriority="1576"/>
    <w:lsdException w:name="Colorful Shading Accent 5" w:uiPriority="1577"/>
    <w:lsdException w:name="Colorful List Accent 5" w:uiPriority="1584"/>
    <w:lsdException w:name="Colorful Grid Accent 5" w:uiPriority="1585"/>
    <w:lsdException w:name="Light Shading Accent 6" w:uiPriority="822"/>
    <w:lsdException w:name="Light List Accent 6" w:uiPriority="823"/>
    <w:lsdException w:name="Light Grid Accent 6" w:uiPriority="824"/>
    <w:lsdException w:name="Medium Shading 1 Accent 6" w:uiPriority="825"/>
    <w:lsdException w:name="Medium Shading 2 Accent 6" w:uiPriority="1432"/>
    <w:lsdException w:name="Medium List 1 Accent 6" w:uiPriority="1433"/>
    <w:lsdException w:name="Medium List 2 Accent 6" w:uiPriority="1536"/>
    <w:lsdException w:name="Medium Grid 1 Accent 6" w:uiPriority="1537"/>
    <w:lsdException w:name="Medium Grid 2 Accent 6" w:uiPriority="1544"/>
    <w:lsdException w:name="Medium Grid 3 Accent 6" w:uiPriority="1545"/>
    <w:lsdException w:name="Dark List Accent 6" w:uiPriority="1576"/>
    <w:lsdException w:name="Colorful Shading Accent 6" w:uiPriority="1577"/>
    <w:lsdException w:name="Colorful List Accent 6" w:uiPriority="1584"/>
    <w:lsdException w:name="Colorful Grid Accent 6" w:uiPriority="1585"/>
    <w:lsdException w:name="Subtle Emphasis" w:uiPriority="85" w:qFormat="1"/>
    <w:lsdException w:name="Intense Emphasis" w:uiPriority="129" w:qFormat="1"/>
    <w:lsdException w:name="Subtle Reference" w:uiPriority="277" w:qFormat="1"/>
    <w:lsdException w:name="Intense Reference" w:uiPriority="296" w:qFormat="1"/>
    <w:lsdException w:name="Book Title" w:uiPriority="297" w:qFormat="1"/>
    <w:lsdException w:name="Bibliography" w:semiHidden="1" w:uiPriority="307" w:unhideWhenUsed="1"/>
    <w:lsdException w:name="TOC Heading" w:semiHidden="1" w:uiPriority="309" w:unhideWhenUsed="1" w:qFormat="1"/>
    <w:lsdException w:name="Plain Table 1" w:uiPriority="599"/>
    <w:lsdException w:name="Plain Table 2" w:uiPriority="600"/>
    <w:lsdException w:name="Plain Table 3" w:uiPriority="601"/>
    <w:lsdException w:name="Plain Table 4" w:uiPriority="608"/>
    <w:lsdException w:name="Plain Table 5" w:uiPriority="609"/>
    <w:lsdException w:name="Grid Table Light" w:uiPriority="598"/>
    <w:lsdException w:name="Grid Table 1 Light" w:uiPriority="628"/>
    <w:lsdException w:name="Grid Table 2" w:uiPriority="629"/>
    <w:lsdException w:name="Grid Table 3" w:uiPriority="630"/>
    <w:lsdException w:name="Grid Table 4" w:uiPriority="631"/>
    <w:lsdException w:name="Grid Table 5 Dark" w:uiPriority="662"/>
    <w:lsdException w:name="Grid Table 6 Colorful" w:uiPriority="663"/>
    <w:lsdException w:name="Grid Table 7 Colorful" w:uiPriority="772"/>
    <w:lsdException w:name="Grid Table 1 Light Accent 1" w:uiPriority="628"/>
    <w:lsdException w:name="Grid Table 2 Accent 1" w:uiPriority="629"/>
    <w:lsdException w:name="Grid Table 3 Accent 1" w:uiPriority="630"/>
    <w:lsdException w:name="Grid Table 4 Accent 1" w:uiPriority="631"/>
    <w:lsdException w:name="Grid Table 5 Dark Accent 1" w:uiPriority="662"/>
    <w:lsdException w:name="Grid Table 6 Colorful Accent 1" w:uiPriority="663"/>
    <w:lsdException w:name="Grid Table 7 Colorful Accent 1" w:uiPriority="772"/>
    <w:lsdException w:name="Grid Table 1 Light Accent 2" w:uiPriority="628"/>
    <w:lsdException w:name="Grid Table 2 Accent 2" w:uiPriority="629"/>
    <w:lsdException w:name="Grid Table 3 Accent 2" w:uiPriority="630"/>
    <w:lsdException w:name="Grid Table 4 Accent 2" w:uiPriority="631"/>
    <w:lsdException w:name="Grid Table 5 Dark Accent 2" w:uiPriority="662"/>
    <w:lsdException w:name="Grid Table 6 Colorful Accent 2" w:uiPriority="663"/>
    <w:lsdException w:name="Grid Table 7 Colorful Accent 2" w:uiPriority="772"/>
    <w:lsdException w:name="Grid Table 1 Light Accent 3" w:uiPriority="628"/>
    <w:lsdException w:name="Grid Table 2 Accent 3" w:uiPriority="629"/>
    <w:lsdException w:name="Grid Table 3 Accent 3" w:uiPriority="630"/>
    <w:lsdException w:name="Grid Table 4 Accent 3" w:uiPriority="631"/>
    <w:lsdException w:name="Grid Table 5 Dark Accent 3" w:uiPriority="662"/>
    <w:lsdException w:name="Grid Table 6 Colorful Accent 3" w:uiPriority="663"/>
    <w:lsdException w:name="Grid Table 7 Colorful Accent 3" w:uiPriority="772"/>
    <w:lsdException w:name="Grid Table 1 Light Accent 4" w:uiPriority="628"/>
    <w:lsdException w:name="Grid Table 2 Accent 4" w:uiPriority="629"/>
    <w:lsdException w:name="Grid Table 3 Accent 4" w:uiPriority="630"/>
    <w:lsdException w:name="Grid Table 4 Accent 4" w:uiPriority="631"/>
    <w:lsdException w:name="Grid Table 5 Dark Accent 4" w:uiPriority="662"/>
    <w:lsdException w:name="Grid Table 6 Colorful Accent 4" w:uiPriority="663"/>
    <w:lsdException w:name="Grid Table 7 Colorful Accent 4" w:uiPriority="772"/>
    <w:lsdException w:name="Grid Table 1 Light Accent 5" w:uiPriority="628"/>
    <w:lsdException w:name="Grid Table 2 Accent 5" w:uiPriority="629"/>
    <w:lsdException w:name="Grid Table 3 Accent 5" w:uiPriority="630"/>
    <w:lsdException w:name="Grid Table 4 Accent 5" w:uiPriority="631"/>
    <w:lsdException w:name="Grid Table 5 Dark Accent 5" w:uiPriority="662"/>
    <w:lsdException w:name="Grid Table 6 Colorful Accent 5" w:uiPriority="663"/>
    <w:lsdException w:name="Grid Table 7 Colorful Accent 5" w:uiPriority="772"/>
    <w:lsdException w:name="Grid Table 1 Light Accent 6" w:uiPriority="628"/>
    <w:lsdException w:name="Grid Table 2 Accent 6" w:uiPriority="629"/>
    <w:lsdException w:name="Grid Table 3 Accent 6" w:uiPriority="630"/>
    <w:lsdException w:name="Grid Table 4 Accent 6" w:uiPriority="631"/>
    <w:lsdException w:name="Grid Table 5 Dark Accent 6" w:uiPriority="662"/>
    <w:lsdException w:name="Grid Table 6 Colorful Accent 6" w:uiPriority="663"/>
    <w:lsdException w:name="Grid Table 7 Colorful Accent 6" w:uiPriority="772"/>
    <w:lsdException w:name="List Table 1 Light" w:uiPriority="628"/>
    <w:lsdException w:name="List Table 2" w:uiPriority="629"/>
    <w:lsdException w:name="List Table 3" w:uiPriority="630"/>
    <w:lsdException w:name="List Table 4" w:uiPriority="631"/>
    <w:lsdException w:name="List Table 5 Dark" w:uiPriority="662"/>
    <w:lsdException w:name="List Table 6 Colorful" w:uiPriority="663"/>
    <w:lsdException w:name="List Table 7 Colorful" w:uiPriority="772"/>
    <w:lsdException w:name="List Table 1 Light Accent 1" w:uiPriority="628"/>
    <w:lsdException w:name="List Table 2 Accent 1" w:uiPriority="629"/>
    <w:lsdException w:name="List Table 3 Accent 1" w:uiPriority="630"/>
    <w:lsdException w:name="List Table 4 Accent 1" w:uiPriority="631"/>
    <w:lsdException w:name="List Table 5 Dark Accent 1" w:uiPriority="662"/>
    <w:lsdException w:name="List Table 6 Colorful Accent 1" w:uiPriority="663"/>
    <w:lsdException w:name="List Table 7 Colorful Accent 1" w:uiPriority="772"/>
    <w:lsdException w:name="List Table 1 Light Accent 2" w:uiPriority="628"/>
    <w:lsdException w:name="List Table 2 Accent 2" w:uiPriority="629"/>
    <w:lsdException w:name="List Table 3 Accent 2" w:uiPriority="630"/>
    <w:lsdException w:name="List Table 4 Accent 2" w:uiPriority="631"/>
    <w:lsdException w:name="List Table 5 Dark Accent 2" w:uiPriority="662"/>
    <w:lsdException w:name="List Table 6 Colorful Accent 2" w:uiPriority="663"/>
    <w:lsdException w:name="List Table 7 Colorful Accent 2" w:uiPriority="772"/>
    <w:lsdException w:name="List Table 1 Light Accent 3" w:uiPriority="628"/>
    <w:lsdException w:name="List Table 2 Accent 3" w:uiPriority="629"/>
    <w:lsdException w:name="List Table 3 Accent 3" w:uiPriority="630"/>
    <w:lsdException w:name="List Table 4 Accent 3" w:uiPriority="631"/>
    <w:lsdException w:name="List Table 5 Dark Accent 3" w:uiPriority="662"/>
    <w:lsdException w:name="List Table 6 Colorful Accent 3" w:uiPriority="663"/>
    <w:lsdException w:name="List Table 7 Colorful Accent 3" w:uiPriority="772"/>
    <w:lsdException w:name="List Table 1 Light Accent 4" w:uiPriority="628"/>
    <w:lsdException w:name="List Table 2 Accent 4" w:uiPriority="629"/>
    <w:lsdException w:name="List Table 3 Accent 4" w:uiPriority="630"/>
    <w:lsdException w:name="List Table 4 Accent 4" w:uiPriority="631"/>
    <w:lsdException w:name="List Table 5 Dark Accent 4" w:uiPriority="662"/>
    <w:lsdException w:name="List Table 6 Colorful Accent 4" w:uiPriority="663"/>
    <w:lsdException w:name="List Table 7 Colorful Accent 4" w:uiPriority="772"/>
    <w:lsdException w:name="List Table 1 Light Accent 5" w:uiPriority="628"/>
    <w:lsdException w:name="List Table 2 Accent 5" w:uiPriority="629"/>
    <w:lsdException w:name="List Table 3 Accent 5" w:uiPriority="630"/>
    <w:lsdException w:name="List Table 4 Accent 5" w:uiPriority="631"/>
    <w:lsdException w:name="List Table 5 Dark Accent 5" w:uiPriority="662"/>
    <w:lsdException w:name="List Table 6 Colorful Accent 5" w:uiPriority="663"/>
    <w:lsdException w:name="List Table 7 Colorful Accent 5" w:uiPriority="772"/>
    <w:lsdException w:name="List Table 1 Light Accent 6" w:uiPriority="628"/>
    <w:lsdException w:name="List Table 2 Accent 6" w:uiPriority="629"/>
    <w:lsdException w:name="List Table 3 Accent 6" w:uiPriority="630"/>
    <w:lsdException w:name="List Table 4 Accent 6" w:uiPriority="631"/>
    <w:lsdException w:name="List Table 5 Dark Accent 6" w:uiPriority="662"/>
    <w:lsdException w:name="List Table 6 Colorful Accent 6" w:uiPriority="663"/>
    <w:lsdException w:name="List Table 7 Colorful Accent 6" w:uiPriority="77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autoSpaceDE w:val="off"/>
      <w:autoSpaceDN w:val="off"/>
      <w:widowControl w:val="off"/>
      <w:wordWrap w:val="off"/>
      <w:pBdr>
        <w:top w:val="none" w:sz="2" w:space="1" w:color="000000"/>
        <w:left w:val="none" w:sz="2" w:space="4" w:color="000000"/>
        <w:bottom w:val="none" w:sz="2" w:space="1" w:color="000000"/>
        <w:right w:val="none" w:sz="2" w:space="4" w:color="000000"/>
      </w:pBdr>
      <w:spacing w:after="0" w:line="240" w:lineRule="auto"/>
      <w:textAlignment w:val="baseline"/>
    </w:pPr>
    <w:rPr>
      <w:rFonts w:ascii="맑은 고딕" w:eastAsia="맑은 고딕"/>
      <w:strike/>
      <w:color w:val="000000"/>
    </w:rPr>
  </w:style>
  <w:style w:type="paragraph" w:styleId="a4">
    <w:name w:val="List Paragraph"/>
    <w:uiPriority w:val="34"/>
    <w:basedOn w:val="a"/>
    <w:qFormat/>
    <w:pPr>
      <w:ind w:leftChars="400" w:left="800"/>
    </w:pPr>
  </w:style>
  <w:style w:type="paragraph" w:styleId="a5">
    <w:name w:val="Date"/>
    <w:uiPriority w:val="99"/>
    <w:basedOn w:val="a"/>
    <w:next w:val="a"/>
    <w:link w:val="Char"/>
    <w:semiHidden/>
    <w:unhideWhenUsed/>
  </w:style>
  <w:style w:type="character" w:customStyle="1" w:styleId="Char">
    <w:name w:val="날짜 Char"/>
    <w:uiPriority w:val="99"/>
    <w:basedOn w:val="a0"/>
    <w:link w:val="a5"/>
    <w:semiHidden/>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paragraph" w:styleId="a8">
    <w:name w:val="Balloon Text"/>
    <w:uiPriority w:val="99"/>
    <w:basedOn w:val="a"/>
    <w:link w:val="Char2"/>
    <w:semiHidden/>
    <w:unhideWhenUsed/>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uiPriority w:val="99"/>
    <w:basedOn w:val="a0"/>
    <w:link w:val="a8"/>
    <w:semiHidden/>
    <w:rPr>
      <w:rFonts w:asciiTheme="majorHAnsi" w:eastAsiaTheme="majorEastAsia" w:hAnsiTheme="majorHAnsi" w:cstheme="majorBidi"/>
      <w:sz w:val="18"/>
      <w:szCs w:val="18"/>
    </w:rPr>
  </w:style>
  <w:style w:type="character" w:styleId="a9">
    <w:name w:val="Hyperlink"/>
    <w:uiPriority w:val="99"/>
    <w:basedOn w:val="a0"/>
    <w:unhideWhenUsed/>
    <w:rPr>
      <w:color w:val="0563C1"/>
      <w:u w:val="single" w:color="auto"/>
    </w:rPr>
  </w:style>
  <w:style w:type="table" w:styleId="b0">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dc:creator>
  <cp:keywords/>
  <dc:description/>
  <cp:lastModifiedBy>이정화</cp:lastModifiedBy>
  <cp:revision>1</cp:revision>
  <dcterms:created xsi:type="dcterms:W3CDTF">2025-01-15T06:51:00Z</dcterms:created>
  <dcterms:modified xsi:type="dcterms:W3CDTF">2025-02-03T05:06:32Z</dcterms:modified>
  <cp:lastPrinted>2024-02-29T01:26:00Z</cp:lastPrinted>
  <cp:version>1200.0100.01</cp:version>
</cp:coreProperties>
</file>